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BC" w:rsidRPr="00B62920" w:rsidRDefault="007766DD" w:rsidP="00EB38E6">
      <w:pPr>
        <w:jc w:val="center"/>
        <w:rPr>
          <w:lang w:val="en-GB"/>
        </w:rPr>
      </w:pPr>
      <w:bookmarkStart w:id="0" w:name="_GoBack"/>
      <w:bookmarkEnd w:id="0"/>
      <w:r w:rsidRPr="00B62920">
        <w:rPr>
          <w:noProof/>
        </w:rPr>
        <w:drawing>
          <wp:inline distT="0" distB="0" distL="0" distR="0" wp14:anchorId="21AC9EDC" wp14:editId="76572314">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58240B" w:rsidRDefault="0058240B" w:rsidP="00EB38E6">
      <w:pPr>
        <w:autoSpaceDE w:val="0"/>
        <w:ind w:hanging="11"/>
        <w:jc w:val="center"/>
        <w:rPr>
          <w:b/>
          <w:bCs/>
          <w:lang w:val="en-GB"/>
        </w:rPr>
      </w:pPr>
    </w:p>
    <w:p w:rsidR="000F7E70" w:rsidRPr="00B62920" w:rsidRDefault="000F7E70" w:rsidP="00EB38E6">
      <w:pPr>
        <w:autoSpaceDE w:val="0"/>
        <w:ind w:hanging="11"/>
        <w:jc w:val="center"/>
        <w:rPr>
          <w:b/>
          <w:bCs/>
          <w:lang w:val="en-GB"/>
        </w:rPr>
      </w:pPr>
      <w:r w:rsidRPr="00B62920">
        <w:rPr>
          <w:b/>
          <w:bCs/>
          <w:lang w:val="en-GB"/>
        </w:rPr>
        <w:t>OPINION</w:t>
      </w:r>
      <w:r w:rsidR="00127910">
        <w:rPr>
          <w:b/>
          <w:bCs/>
          <w:lang w:val="en-GB"/>
        </w:rPr>
        <w:t xml:space="preserve">  </w:t>
      </w:r>
    </w:p>
    <w:p w:rsidR="00B62920" w:rsidRPr="00B62920" w:rsidRDefault="00B62920" w:rsidP="000F7E70">
      <w:pPr>
        <w:autoSpaceDE w:val="0"/>
        <w:jc w:val="both"/>
        <w:rPr>
          <w:b/>
          <w:bCs/>
          <w:lang w:val="en-GB"/>
        </w:rPr>
      </w:pPr>
    </w:p>
    <w:p w:rsidR="000F7E70" w:rsidRPr="00EA6803" w:rsidRDefault="000F7E70" w:rsidP="000F7E70">
      <w:pPr>
        <w:autoSpaceDE w:val="0"/>
        <w:jc w:val="both"/>
        <w:rPr>
          <w:b/>
          <w:bCs/>
          <w:lang w:val="en-GB"/>
        </w:rPr>
      </w:pPr>
      <w:r w:rsidRPr="00EA6803">
        <w:rPr>
          <w:b/>
          <w:bCs/>
          <w:lang w:val="en-GB"/>
        </w:rPr>
        <w:t xml:space="preserve">Date of adoption: </w:t>
      </w:r>
      <w:r w:rsidR="00EA6803" w:rsidRPr="00EA6803">
        <w:rPr>
          <w:b/>
          <w:bCs/>
          <w:lang w:val="en-GB"/>
        </w:rPr>
        <w:t>10</w:t>
      </w:r>
      <w:r w:rsidR="00E248D0" w:rsidRPr="00EA6803">
        <w:rPr>
          <w:b/>
          <w:bCs/>
          <w:lang w:val="en-GB"/>
        </w:rPr>
        <w:t xml:space="preserve"> </w:t>
      </w:r>
      <w:r w:rsidR="008B0BD1" w:rsidRPr="00EA6803">
        <w:rPr>
          <w:b/>
          <w:bCs/>
          <w:lang w:val="en-GB"/>
        </w:rPr>
        <w:t xml:space="preserve">September </w:t>
      </w:r>
      <w:r w:rsidR="00093691" w:rsidRPr="00EA6803">
        <w:rPr>
          <w:b/>
          <w:bCs/>
          <w:lang w:val="en-GB"/>
        </w:rPr>
        <w:t>2015</w:t>
      </w:r>
    </w:p>
    <w:p w:rsidR="00E327E1" w:rsidRPr="00EA6803" w:rsidRDefault="00E327E1" w:rsidP="000F7E70">
      <w:pPr>
        <w:autoSpaceDE w:val="0"/>
        <w:jc w:val="both"/>
        <w:rPr>
          <w:b/>
          <w:bCs/>
          <w:lang w:val="en-GB"/>
        </w:rPr>
      </w:pPr>
    </w:p>
    <w:p w:rsidR="008612C4" w:rsidRPr="00B62920" w:rsidRDefault="008B0BD1" w:rsidP="008612C4">
      <w:pPr>
        <w:autoSpaceDE w:val="0"/>
        <w:autoSpaceDN w:val="0"/>
        <w:adjustRightInd w:val="0"/>
        <w:jc w:val="both"/>
        <w:rPr>
          <w:b/>
          <w:bCs/>
        </w:rPr>
      </w:pPr>
      <w:r w:rsidRPr="00EA6803">
        <w:rPr>
          <w:b/>
          <w:bCs/>
        </w:rPr>
        <w:t>Case No. 266</w:t>
      </w:r>
      <w:r w:rsidR="00E248D0" w:rsidRPr="00EA6803">
        <w:rPr>
          <w:b/>
          <w:bCs/>
        </w:rPr>
        <w:t>/</w:t>
      </w:r>
      <w:r w:rsidRPr="00EA6803">
        <w:rPr>
          <w:b/>
          <w:bCs/>
        </w:rPr>
        <w:t>09</w:t>
      </w:r>
    </w:p>
    <w:p w:rsidR="008612C4" w:rsidRPr="00B62920" w:rsidRDefault="008612C4" w:rsidP="008612C4">
      <w:pPr>
        <w:autoSpaceDE w:val="0"/>
        <w:autoSpaceDN w:val="0"/>
        <w:adjustRightInd w:val="0"/>
        <w:jc w:val="both"/>
        <w:rPr>
          <w:b/>
          <w:bCs/>
        </w:rPr>
      </w:pPr>
    </w:p>
    <w:p w:rsidR="00C5312D" w:rsidRDefault="00C5312D" w:rsidP="000E1F88">
      <w:pPr>
        <w:autoSpaceDE w:val="0"/>
        <w:autoSpaceDN w:val="0"/>
        <w:adjustRightInd w:val="0"/>
        <w:jc w:val="both"/>
        <w:rPr>
          <w:b/>
        </w:rPr>
      </w:pPr>
    </w:p>
    <w:p w:rsidR="000E1F88" w:rsidRDefault="000E1F88" w:rsidP="000E1F88">
      <w:pPr>
        <w:autoSpaceDE w:val="0"/>
        <w:autoSpaceDN w:val="0"/>
        <w:adjustRightInd w:val="0"/>
        <w:jc w:val="both"/>
        <w:rPr>
          <w:b/>
          <w:bCs/>
        </w:rPr>
      </w:pPr>
      <w:r>
        <w:rPr>
          <w:b/>
        </w:rPr>
        <w:t xml:space="preserve">Slobodan ŠKRIPAC </w:t>
      </w:r>
    </w:p>
    <w:p w:rsidR="002D428F" w:rsidRPr="00B62920" w:rsidRDefault="002D428F" w:rsidP="002D428F">
      <w:pPr>
        <w:autoSpaceDE w:val="0"/>
        <w:autoSpaceDN w:val="0"/>
        <w:adjustRightInd w:val="0"/>
        <w:jc w:val="both"/>
        <w:rPr>
          <w:b/>
          <w:bCs/>
          <w:lang w:val="en-GB"/>
        </w:rPr>
      </w:pPr>
    </w:p>
    <w:p w:rsidR="002D428F" w:rsidRPr="00B62920" w:rsidRDefault="002D428F" w:rsidP="002D428F">
      <w:pPr>
        <w:autoSpaceDE w:val="0"/>
        <w:autoSpaceDN w:val="0"/>
        <w:adjustRightInd w:val="0"/>
        <w:jc w:val="both"/>
        <w:rPr>
          <w:b/>
          <w:bCs/>
          <w:lang w:val="en-GB"/>
        </w:rPr>
      </w:pPr>
      <w:proofErr w:type="gramStart"/>
      <w:r w:rsidRPr="00B62920">
        <w:rPr>
          <w:b/>
          <w:bCs/>
          <w:lang w:val="en-GB"/>
        </w:rPr>
        <w:t>against</w:t>
      </w:r>
      <w:proofErr w:type="gramEnd"/>
    </w:p>
    <w:p w:rsidR="002D428F" w:rsidRPr="00B62920" w:rsidRDefault="002D428F" w:rsidP="002D428F">
      <w:pPr>
        <w:autoSpaceDE w:val="0"/>
        <w:autoSpaceDN w:val="0"/>
        <w:adjustRightInd w:val="0"/>
        <w:jc w:val="both"/>
        <w:rPr>
          <w:b/>
          <w:bCs/>
          <w:lang w:val="en-GB"/>
        </w:rPr>
      </w:pPr>
    </w:p>
    <w:p w:rsidR="002D428F" w:rsidRPr="00B62920" w:rsidRDefault="002D428F" w:rsidP="002D428F">
      <w:pPr>
        <w:autoSpaceDE w:val="0"/>
        <w:autoSpaceDN w:val="0"/>
        <w:adjustRightInd w:val="0"/>
        <w:jc w:val="both"/>
        <w:rPr>
          <w:b/>
          <w:bCs/>
          <w:lang w:val="en-GB"/>
        </w:rPr>
      </w:pPr>
      <w:r w:rsidRPr="00B62920">
        <w:rPr>
          <w:b/>
          <w:bCs/>
          <w:lang w:val="en-GB"/>
        </w:rPr>
        <w:t xml:space="preserve">UNMIK </w:t>
      </w:r>
    </w:p>
    <w:p w:rsidR="00E07C8C" w:rsidRPr="00B62920" w:rsidRDefault="00E07C8C" w:rsidP="000F7E70">
      <w:pPr>
        <w:autoSpaceDE w:val="0"/>
        <w:jc w:val="both"/>
        <w:rPr>
          <w:b/>
          <w:bCs/>
          <w:lang w:val="en-GB"/>
        </w:rPr>
      </w:pPr>
    </w:p>
    <w:p w:rsidR="004202B2" w:rsidRPr="00B62920" w:rsidRDefault="004202B2" w:rsidP="000F7E70">
      <w:pPr>
        <w:autoSpaceDE w:val="0"/>
        <w:jc w:val="both"/>
        <w:rPr>
          <w:b/>
          <w:bCs/>
          <w:lang w:val="en-GB"/>
        </w:rPr>
      </w:pPr>
    </w:p>
    <w:p w:rsidR="000C2AEF" w:rsidRPr="00EA6803" w:rsidRDefault="000C2AEF" w:rsidP="000C2AEF">
      <w:pPr>
        <w:autoSpaceDE w:val="0"/>
        <w:jc w:val="both"/>
      </w:pPr>
      <w:r w:rsidRPr="00EA6803">
        <w:t>The Huma</w:t>
      </w:r>
      <w:r w:rsidR="008B0BD1" w:rsidRPr="00EA6803">
        <w:t>n Rights Advisory Panel,</w:t>
      </w:r>
      <w:r w:rsidRPr="00EA6803">
        <w:t xml:space="preserve"> on </w:t>
      </w:r>
      <w:r w:rsidR="00EA6803" w:rsidRPr="00EA6803">
        <w:t xml:space="preserve">10 </w:t>
      </w:r>
      <w:r w:rsidR="008B0BD1" w:rsidRPr="00EA6803">
        <w:t>September</w:t>
      </w:r>
      <w:r w:rsidRPr="00EA6803">
        <w:t xml:space="preserve"> 2015,</w:t>
      </w:r>
    </w:p>
    <w:p w:rsidR="000C2AEF" w:rsidRPr="00EA6803" w:rsidRDefault="000C2AEF" w:rsidP="000C2AEF">
      <w:pPr>
        <w:autoSpaceDE w:val="0"/>
        <w:jc w:val="both"/>
      </w:pPr>
      <w:proofErr w:type="gramStart"/>
      <w:r w:rsidRPr="00EA6803">
        <w:t>w</w:t>
      </w:r>
      <w:r w:rsidR="008B0BD1" w:rsidRPr="00EA6803">
        <w:t>ith</w:t>
      </w:r>
      <w:proofErr w:type="gramEnd"/>
      <w:r w:rsidR="008B0BD1" w:rsidRPr="00EA6803">
        <w:t xml:space="preserve"> the following members taking part:</w:t>
      </w:r>
    </w:p>
    <w:p w:rsidR="000C2AEF" w:rsidRPr="00EA6803" w:rsidRDefault="000C2AEF" w:rsidP="000C2AEF">
      <w:pPr>
        <w:autoSpaceDE w:val="0"/>
        <w:jc w:val="both"/>
      </w:pPr>
    </w:p>
    <w:p w:rsidR="000C2AEF" w:rsidRPr="00EA6803" w:rsidRDefault="000C2AEF" w:rsidP="000C2AEF">
      <w:pPr>
        <w:autoSpaceDE w:val="0"/>
        <w:jc w:val="both"/>
      </w:pPr>
      <w:r w:rsidRPr="00EA6803">
        <w:t>Marek Nowicki, Presiding Member</w:t>
      </w:r>
    </w:p>
    <w:p w:rsidR="000C2AEF" w:rsidRPr="00EA6803" w:rsidRDefault="000C2AEF" w:rsidP="000C2AEF">
      <w:pPr>
        <w:autoSpaceDE w:val="0"/>
        <w:jc w:val="both"/>
      </w:pPr>
      <w:r w:rsidRPr="00EA6803">
        <w:t>Christine Chinkin</w:t>
      </w:r>
    </w:p>
    <w:p w:rsidR="000C2AEF" w:rsidRPr="00EA6803" w:rsidRDefault="000C2AEF" w:rsidP="000C2AEF">
      <w:pPr>
        <w:autoSpaceDE w:val="0"/>
        <w:jc w:val="both"/>
        <w:rPr>
          <w:color w:val="FF0000"/>
        </w:rPr>
      </w:pPr>
      <w:r w:rsidRPr="00EA6803">
        <w:t>Françoise Tulkens</w:t>
      </w:r>
    </w:p>
    <w:p w:rsidR="000C2AEF" w:rsidRPr="00EA6803" w:rsidRDefault="000C2AEF" w:rsidP="000C2AEF">
      <w:pPr>
        <w:autoSpaceDE w:val="0"/>
        <w:jc w:val="both"/>
      </w:pPr>
    </w:p>
    <w:p w:rsidR="00C5312D" w:rsidRDefault="00C5312D" w:rsidP="000C2AEF">
      <w:pPr>
        <w:autoSpaceDE w:val="0"/>
        <w:jc w:val="both"/>
      </w:pPr>
    </w:p>
    <w:p w:rsidR="000C2AEF" w:rsidRPr="00EA6803" w:rsidRDefault="000C2AEF" w:rsidP="000C2AEF">
      <w:pPr>
        <w:autoSpaceDE w:val="0"/>
        <w:jc w:val="both"/>
      </w:pPr>
      <w:r w:rsidRPr="00EA6803">
        <w:t>Assisted by</w:t>
      </w:r>
    </w:p>
    <w:p w:rsidR="000C2AEF" w:rsidRPr="00EA6803" w:rsidRDefault="000C2AEF" w:rsidP="000C2AEF">
      <w:pPr>
        <w:autoSpaceDE w:val="0"/>
        <w:jc w:val="both"/>
      </w:pPr>
    </w:p>
    <w:p w:rsidR="000C2AEF" w:rsidRPr="00B62920" w:rsidRDefault="000C2AEF" w:rsidP="000C2AEF">
      <w:pPr>
        <w:autoSpaceDE w:val="0"/>
        <w:jc w:val="both"/>
      </w:pPr>
      <w:r w:rsidRPr="00EA6803">
        <w:t>Andrey Antonov, Executive Officer</w:t>
      </w:r>
    </w:p>
    <w:p w:rsidR="000C2AEF" w:rsidRPr="00B62920" w:rsidRDefault="000C2AEF" w:rsidP="000C2AEF">
      <w:pPr>
        <w:autoSpaceDE w:val="0"/>
        <w:jc w:val="both"/>
      </w:pPr>
    </w:p>
    <w:p w:rsidR="000C2AEF" w:rsidRPr="00B62920" w:rsidRDefault="000C2AEF" w:rsidP="000C2AEF">
      <w:pPr>
        <w:autoSpaceDE w:val="0"/>
        <w:jc w:val="both"/>
      </w:pPr>
    </w:p>
    <w:p w:rsidR="000C2AEF" w:rsidRPr="00EA6803" w:rsidRDefault="000C2AEF" w:rsidP="000C2AEF">
      <w:pPr>
        <w:autoSpaceDE w:val="0"/>
        <w:autoSpaceDN w:val="0"/>
        <w:adjustRightInd w:val="0"/>
        <w:jc w:val="both"/>
      </w:pPr>
      <w:r w:rsidRPr="00B62920">
        <w:t xml:space="preserve">Having considered the aforementioned complaint, introduced pursuant to Section 1.2 of UNMIK </w:t>
      </w:r>
      <w:r w:rsidRPr="00EA6803">
        <w:t>Regulation No. 2006/12 of 23 March 2006 on the Establishment of the Human Rights Advisory Panel,</w:t>
      </w:r>
    </w:p>
    <w:p w:rsidR="000C2AEF" w:rsidRPr="00EA6803" w:rsidRDefault="000C2AEF" w:rsidP="000C2AEF">
      <w:pPr>
        <w:autoSpaceDE w:val="0"/>
        <w:autoSpaceDN w:val="0"/>
        <w:adjustRightInd w:val="0"/>
        <w:jc w:val="both"/>
      </w:pPr>
    </w:p>
    <w:p w:rsidR="000C2AEF" w:rsidRPr="00EA6803" w:rsidRDefault="000C2AEF" w:rsidP="000C2AEF">
      <w:pPr>
        <w:autoSpaceDE w:val="0"/>
        <w:autoSpaceDN w:val="0"/>
        <w:adjustRightInd w:val="0"/>
        <w:jc w:val="both"/>
      </w:pPr>
    </w:p>
    <w:p w:rsidR="000C2AEF" w:rsidRPr="00B62920" w:rsidRDefault="000C2AEF" w:rsidP="000C2AEF">
      <w:pPr>
        <w:autoSpaceDE w:val="0"/>
        <w:autoSpaceDN w:val="0"/>
        <w:adjustRightInd w:val="0"/>
        <w:jc w:val="both"/>
      </w:pPr>
      <w:r w:rsidRPr="00EA6803">
        <w:t xml:space="preserve">Having deliberated, </w:t>
      </w:r>
      <w:r w:rsidR="008B0BD1" w:rsidRPr="00EA6803">
        <w:t xml:space="preserve">including through electronic means, in accordance with Rule 13 § 2 of its Rules of Procedure, </w:t>
      </w:r>
      <w:r w:rsidRPr="00EA6803">
        <w:t>makes the following findings and recommendations:</w:t>
      </w:r>
    </w:p>
    <w:p w:rsidR="00EC2041" w:rsidRPr="00B62920" w:rsidRDefault="00EC2041" w:rsidP="00301DAC">
      <w:pPr>
        <w:autoSpaceDE w:val="0"/>
        <w:jc w:val="both"/>
        <w:rPr>
          <w:lang w:val="en-GB"/>
        </w:rPr>
      </w:pPr>
    </w:p>
    <w:p w:rsidR="00022E69" w:rsidRPr="00B62920" w:rsidRDefault="00022E69" w:rsidP="000F7E70">
      <w:pPr>
        <w:autoSpaceDE w:val="0"/>
        <w:jc w:val="both"/>
        <w:rPr>
          <w:lang w:val="en-GB"/>
        </w:rPr>
      </w:pPr>
    </w:p>
    <w:p w:rsidR="0016154E" w:rsidRPr="00B62920" w:rsidRDefault="0016154E" w:rsidP="00B50188">
      <w:pPr>
        <w:numPr>
          <w:ilvl w:val="0"/>
          <w:numId w:val="1"/>
        </w:numPr>
        <w:suppressAutoHyphens/>
        <w:autoSpaceDE w:val="0"/>
        <w:ind w:left="360" w:hanging="360"/>
        <w:jc w:val="both"/>
        <w:rPr>
          <w:b/>
          <w:bCs/>
          <w:lang w:val="en-GB"/>
        </w:rPr>
      </w:pPr>
      <w:r w:rsidRPr="00B62920">
        <w:rPr>
          <w:b/>
          <w:bCs/>
          <w:lang w:val="en-GB"/>
        </w:rPr>
        <w:lastRenderedPageBreak/>
        <w:t>PROCEEDINGS BEFORE THE PANEL</w:t>
      </w:r>
    </w:p>
    <w:p w:rsidR="00E327E1" w:rsidRPr="00B62920" w:rsidRDefault="00E327E1" w:rsidP="00E327E1">
      <w:pPr>
        <w:pStyle w:val="Default"/>
        <w:ind w:left="360"/>
        <w:jc w:val="both"/>
        <w:rPr>
          <w:color w:val="auto"/>
          <w:lang w:val="en-GB"/>
        </w:rPr>
      </w:pPr>
    </w:p>
    <w:p w:rsidR="000E1F88" w:rsidRPr="00EA6803" w:rsidRDefault="000E1F88" w:rsidP="000E1F88">
      <w:pPr>
        <w:pStyle w:val="Default"/>
        <w:numPr>
          <w:ilvl w:val="0"/>
          <w:numId w:val="12"/>
        </w:numPr>
        <w:jc w:val="both"/>
      </w:pPr>
      <w:r w:rsidRPr="00EA6803">
        <w:t xml:space="preserve">The complaint was introduced on 21 April 2009 and registered on 30 April 2009. </w:t>
      </w:r>
    </w:p>
    <w:p w:rsidR="000E1F88" w:rsidRPr="00EA6803" w:rsidRDefault="000E1F88" w:rsidP="000E1F88">
      <w:pPr>
        <w:pStyle w:val="Default"/>
        <w:ind w:left="360"/>
        <w:jc w:val="both"/>
      </w:pPr>
    </w:p>
    <w:p w:rsidR="000E1F88" w:rsidRPr="00EA6803" w:rsidRDefault="000E1F88" w:rsidP="000E1F88">
      <w:pPr>
        <w:pStyle w:val="Default"/>
        <w:numPr>
          <w:ilvl w:val="0"/>
          <w:numId w:val="12"/>
        </w:numPr>
        <w:jc w:val="both"/>
      </w:pPr>
      <w:r w:rsidRPr="00EA6803">
        <w:t xml:space="preserve">On 23 December 2009, the Panel requested the complainant to provide additional information. No response was received. </w:t>
      </w:r>
    </w:p>
    <w:p w:rsidR="000E1F88" w:rsidRPr="00EA6803" w:rsidRDefault="000E1F88" w:rsidP="000E1F88">
      <w:pPr>
        <w:pStyle w:val="Default"/>
        <w:ind w:left="360"/>
        <w:jc w:val="both"/>
      </w:pPr>
    </w:p>
    <w:p w:rsidR="000E1F88" w:rsidRPr="00EA6803" w:rsidRDefault="000E1F88" w:rsidP="000E1F88">
      <w:pPr>
        <w:pStyle w:val="Default"/>
        <w:numPr>
          <w:ilvl w:val="0"/>
          <w:numId w:val="12"/>
        </w:numPr>
        <w:jc w:val="both"/>
      </w:pPr>
      <w:r w:rsidRPr="00EA6803">
        <w:t xml:space="preserve">On 24 November 2010, the Panel reiterated its request for further information to the complainant. However, no response was received. </w:t>
      </w:r>
    </w:p>
    <w:p w:rsidR="000E1F88" w:rsidRPr="00EA6803" w:rsidRDefault="000E1F88" w:rsidP="000E1F88">
      <w:pPr>
        <w:pStyle w:val="Default"/>
        <w:ind w:left="360"/>
        <w:jc w:val="both"/>
      </w:pPr>
    </w:p>
    <w:p w:rsidR="002E0AF3" w:rsidRPr="00EA6803" w:rsidRDefault="000E1F88" w:rsidP="000E1F88">
      <w:pPr>
        <w:pStyle w:val="Default"/>
        <w:numPr>
          <w:ilvl w:val="0"/>
          <w:numId w:val="12"/>
        </w:numPr>
        <w:jc w:val="both"/>
      </w:pPr>
      <w:r w:rsidRPr="00EA6803">
        <w:t>On 26 March 2012, the Panel communicated the</w:t>
      </w:r>
      <w:r w:rsidRPr="00EA6803">
        <w:rPr>
          <w:lang w:val="en-GB"/>
        </w:rPr>
        <w:t xml:space="preserve"> complaint </w:t>
      </w:r>
      <w:r w:rsidR="002E0AF3" w:rsidRPr="00EA6803">
        <w:rPr>
          <w:lang w:val="en-GB"/>
        </w:rPr>
        <w:t>to the Special Representative of the Secretary-General (SRSG)</w:t>
      </w:r>
      <w:r w:rsidR="00022E69" w:rsidRPr="00EA6803">
        <w:rPr>
          <w:rStyle w:val="FootnoteReference"/>
          <w:lang w:val="en-GB"/>
        </w:rPr>
        <w:footnoteReference w:id="1"/>
      </w:r>
      <w:r w:rsidR="002E0AF3" w:rsidRPr="00EA6803">
        <w:rPr>
          <w:lang w:val="en-GB"/>
        </w:rPr>
        <w:t>, for UNMIK’s comments on the admi</w:t>
      </w:r>
      <w:r w:rsidR="00647FB1" w:rsidRPr="00EA6803">
        <w:rPr>
          <w:lang w:val="en-GB"/>
        </w:rPr>
        <w:t xml:space="preserve">ssibility of the complaint. </w:t>
      </w:r>
      <w:r w:rsidRPr="00EA6803">
        <w:rPr>
          <w:lang w:val="en-GB"/>
        </w:rPr>
        <w:t>On 30 April 2012</w:t>
      </w:r>
      <w:r w:rsidR="002E0AF3" w:rsidRPr="00EA6803">
        <w:rPr>
          <w:lang w:val="en-GB"/>
        </w:rPr>
        <w:t xml:space="preserve">, </w:t>
      </w:r>
      <w:r w:rsidR="00E35F59" w:rsidRPr="00EA6803">
        <w:rPr>
          <w:lang w:val="en-GB"/>
        </w:rPr>
        <w:t>the SRSG submitted UNMIK’s</w:t>
      </w:r>
      <w:r w:rsidR="002E0AF3" w:rsidRPr="00EA6803">
        <w:rPr>
          <w:lang w:val="en-GB"/>
        </w:rPr>
        <w:t xml:space="preserve"> response. </w:t>
      </w:r>
    </w:p>
    <w:p w:rsidR="00E327E1" w:rsidRPr="00EA6803" w:rsidRDefault="00E327E1" w:rsidP="000E1F88">
      <w:pPr>
        <w:pStyle w:val="Default"/>
        <w:jc w:val="both"/>
      </w:pPr>
    </w:p>
    <w:p w:rsidR="00E327E1" w:rsidRPr="00EA6803" w:rsidRDefault="00E327E1" w:rsidP="00B50188">
      <w:pPr>
        <w:numPr>
          <w:ilvl w:val="0"/>
          <w:numId w:val="2"/>
        </w:numPr>
        <w:jc w:val="both"/>
        <w:rPr>
          <w:b/>
          <w:lang w:val="en-GB"/>
        </w:rPr>
      </w:pPr>
      <w:r w:rsidRPr="00EA6803">
        <w:rPr>
          <w:lang w:val="en-GB"/>
        </w:rPr>
        <w:t xml:space="preserve">On </w:t>
      </w:r>
      <w:r w:rsidR="000E1F88" w:rsidRPr="00EA6803">
        <w:rPr>
          <w:lang w:val="en-GB"/>
        </w:rPr>
        <w:t>26 September</w:t>
      </w:r>
      <w:r w:rsidR="008A0B27" w:rsidRPr="00EA6803">
        <w:rPr>
          <w:lang w:val="en-GB"/>
        </w:rPr>
        <w:t xml:space="preserve"> </w:t>
      </w:r>
      <w:r w:rsidRPr="00EA6803">
        <w:rPr>
          <w:lang w:val="en-GB"/>
        </w:rPr>
        <w:t>201</w:t>
      </w:r>
      <w:r w:rsidR="00991DCC" w:rsidRPr="00EA6803">
        <w:rPr>
          <w:lang w:val="en-GB"/>
        </w:rPr>
        <w:t>2</w:t>
      </w:r>
      <w:r w:rsidRPr="00EA6803">
        <w:rPr>
          <w:lang w:val="en-GB"/>
        </w:rPr>
        <w:t>, t</w:t>
      </w:r>
      <w:r w:rsidR="007766DD" w:rsidRPr="00EA6803">
        <w:rPr>
          <w:lang w:val="en-GB"/>
        </w:rPr>
        <w:t>he Panel declared the complaint</w:t>
      </w:r>
      <w:r w:rsidRPr="00EA6803">
        <w:rPr>
          <w:lang w:val="en-GB"/>
        </w:rPr>
        <w:t xml:space="preserve"> admissible</w:t>
      </w:r>
      <w:r w:rsidR="004865D9" w:rsidRPr="00EA6803">
        <w:t>.</w:t>
      </w:r>
    </w:p>
    <w:p w:rsidR="00E327E1" w:rsidRPr="00EA6803" w:rsidRDefault="00E327E1" w:rsidP="00E327E1">
      <w:pPr>
        <w:pStyle w:val="Default"/>
        <w:ind w:left="360"/>
        <w:jc w:val="both"/>
        <w:rPr>
          <w:color w:val="auto"/>
          <w:lang w:val="en-GB"/>
        </w:rPr>
      </w:pPr>
    </w:p>
    <w:p w:rsidR="003A4BA6" w:rsidRPr="00EA6803" w:rsidRDefault="00F855B3" w:rsidP="003A4BA6">
      <w:pPr>
        <w:widowControl w:val="0"/>
        <w:numPr>
          <w:ilvl w:val="0"/>
          <w:numId w:val="2"/>
        </w:numPr>
        <w:tabs>
          <w:tab w:val="left" w:pos="1080"/>
        </w:tabs>
        <w:suppressAutoHyphens/>
        <w:jc w:val="both"/>
        <w:rPr>
          <w:lang w:val="en-GB"/>
        </w:rPr>
      </w:pPr>
      <w:r w:rsidRPr="00EA6803">
        <w:rPr>
          <w:lang w:val="en-GB"/>
        </w:rPr>
        <w:t xml:space="preserve">On </w:t>
      </w:r>
      <w:r w:rsidR="00045B5E" w:rsidRPr="00EA6803">
        <w:rPr>
          <w:lang w:val="en-GB"/>
        </w:rPr>
        <w:t>15 October</w:t>
      </w:r>
      <w:r w:rsidR="00574389" w:rsidRPr="00EA6803">
        <w:rPr>
          <w:lang w:val="en-GB"/>
        </w:rPr>
        <w:t xml:space="preserve"> </w:t>
      </w:r>
      <w:r w:rsidR="00093691" w:rsidRPr="00EA6803">
        <w:rPr>
          <w:lang w:val="en-GB"/>
        </w:rPr>
        <w:t>2012</w:t>
      </w:r>
      <w:r w:rsidR="00E327E1" w:rsidRPr="00EA6803">
        <w:rPr>
          <w:lang w:val="en-GB"/>
        </w:rPr>
        <w:t xml:space="preserve">, </w:t>
      </w:r>
      <w:r w:rsidRPr="00EA6803">
        <w:rPr>
          <w:lang w:val="en-GB"/>
        </w:rPr>
        <w:t>the Panel forwarded its decision to the SRSG requesting UNMIK’s comments on the merits of the complaint</w:t>
      </w:r>
      <w:r w:rsidR="00672847" w:rsidRPr="00EA6803">
        <w:rPr>
          <w:lang w:val="en-GB"/>
        </w:rPr>
        <w:t>, as well as copies of the investigative files relevant to the case</w:t>
      </w:r>
      <w:r w:rsidR="00B807FD" w:rsidRPr="00EA6803">
        <w:rPr>
          <w:lang w:val="en-GB"/>
        </w:rPr>
        <w:t>.</w:t>
      </w:r>
      <w:r w:rsidR="003A4BA6" w:rsidRPr="00EA6803">
        <w:rPr>
          <w:lang w:val="en-GB"/>
        </w:rPr>
        <w:t xml:space="preserve"> </w:t>
      </w:r>
    </w:p>
    <w:p w:rsidR="003A4BA6" w:rsidRPr="00EA6803" w:rsidRDefault="003A4BA6" w:rsidP="003A4BA6">
      <w:pPr>
        <w:widowControl w:val="0"/>
        <w:tabs>
          <w:tab w:val="left" w:pos="1080"/>
        </w:tabs>
        <w:suppressAutoHyphens/>
        <w:jc w:val="both"/>
        <w:rPr>
          <w:lang w:val="en-GB"/>
        </w:rPr>
      </w:pPr>
    </w:p>
    <w:p w:rsidR="003A4BA6" w:rsidRPr="00EA6803" w:rsidRDefault="00C201C7" w:rsidP="003A4BA6">
      <w:pPr>
        <w:widowControl w:val="0"/>
        <w:numPr>
          <w:ilvl w:val="0"/>
          <w:numId w:val="2"/>
        </w:numPr>
        <w:tabs>
          <w:tab w:val="left" w:pos="1080"/>
        </w:tabs>
        <w:suppressAutoHyphens/>
        <w:jc w:val="both"/>
        <w:rPr>
          <w:lang w:val="en-GB"/>
        </w:rPr>
      </w:pPr>
      <w:bookmarkStart w:id="1" w:name="_Ref414013744"/>
      <w:r w:rsidRPr="00EA6803">
        <w:rPr>
          <w:lang w:val="en-GB"/>
        </w:rPr>
        <w:t xml:space="preserve">On </w:t>
      </w:r>
      <w:r w:rsidR="002A0226" w:rsidRPr="00EA6803">
        <w:rPr>
          <w:lang w:val="en-GB"/>
        </w:rPr>
        <w:t>7 July 2015</w:t>
      </w:r>
      <w:r w:rsidR="003A4BA6" w:rsidRPr="00EA6803">
        <w:rPr>
          <w:lang w:val="en-GB"/>
        </w:rPr>
        <w:t>, the SRSG provided UNMIK’s comments on the merits of the complaint, together with copies of the investigative files.</w:t>
      </w:r>
      <w:bookmarkEnd w:id="1"/>
    </w:p>
    <w:p w:rsidR="003A4BA6" w:rsidRPr="00EA6803" w:rsidRDefault="003A4BA6" w:rsidP="003A4BA6">
      <w:pPr>
        <w:pStyle w:val="ListParagraph"/>
        <w:rPr>
          <w:lang w:val="en-GB"/>
        </w:rPr>
      </w:pPr>
    </w:p>
    <w:p w:rsidR="003A4BA6" w:rsidRPr="00EA6803" w:rsidRDefault="002A0226" w:rsidP="003A4BA6">
      <w:pPr>
        <w:pStyle w:val="Default"/>
        <w:numPr>
          <w:ilvl w:val="0"/>
          <w:numId w:val="2"/>
        </w:numPr>
        <w:jc w:val="both"/>
        <w:rPr>
          <w:color w:val="auto"/>
          <w:lang w:val="en-GB"/>
        </w:rPr>
      </w:pPr>
      <w:bookmarkStart w:id="2" w:name="_Ref414013761"/>
      <w:r w:rsidRPr="00EA6803">
        <w:rPr>
          <w:color w:val="auto"/>
          <w:lang w:val="en-GB"/>
        </w:rPr>
        <w:t>On 14 August</w:t>
      </w:r>
      <w:r w:rsidR="00AD0BB3" w:rsidRPr="00EA6803">
        <w:rPr>
          <w:color w:val="auto"/>
          <w:lang w:val="en-GB"/>
        </w:rPr>
        <w:t xml:space="preserve"> 2015</w:t>
      </w:r>
      <w:r w:rsidR="003A4BA6" w:rsidRPr="00EA6803">
        <w:rPr>
          <w:color w:val="auto"/>
          <w:lang w:val="en-GB"/>
        </w:rPr>
        <w:t>, the Panel requested UNMIK to confirm if the disclosure of files concerning the case</w:t>
      </w:r>
      <w:r w:rsidR="00445981" w:rsidRPr="00EA6803">
        <w:rPr>
          <w:color w:val="auto"/>
          <w:lang w:val="en-GB"/>
        </w:rPr>
        <w:t xml:space="preserve"> </w:t>
      </w:r>
      <w:r w:rsidR="008A0B27" w:rsidRPr="00EA6803">
        <w:rPr>
          <w:color w:val="auto"/>
          <w:lang w:val="en-GB"/>
        </w:rPr>
        <w:t xml:space="preserve">could be considered final. On </w:t>
      </w:r>
      <w:r w:rsidR="00F026C0" w:rsidRPr="00EA6803">
        <w:rPr>
          <w:color w:val="auto"/>
          <w:lang w:val="en-GB"/>
        </w:rPr>
        <w:t>27</w:t>
      </w:r>
      <w:r w:rsidRPr="00EA6803">
        <w:rPr>
          <w:color w:val="auto"/>
          <w:lang w:val="en-GB"/>
        </w:rPr>
        <w:t xml:space="preserve"> August</w:t>
      </w:r>
      <w:r w:rsidR="00AD0BB3" w:rsidRPr="00EA6803">
        <w:rPr>
          <w:color w:val="auto"/>
          <w:lang w:val="en-GB"/>
        </w:rPr>
        <w:t xml:space="preserve"> </w:t>
      </w:r>
      <w:r w:rsidR="003A4BA6" w:rsidRPr="00EA6803">
        <w:rPr>
          <w:color w:val="auto"/>
          <w:lang w:val="en-GB"/>
        </w:rPr>
        <w:t>2015, UNMIK provided its response</w:t>
      </w:r>
      <w:r w:rsidR="00AD0BB3" w:rsidRPr="00EA6803">
        <w:rPr>
          <w:color w:val="auto"/>
          <w:lang w:val="en-GB"/>
        </w:rPr>
        <w:t xml:space="preserve"> confirming that the OLA has disclosed all available files</w:t>
      </w:r>
      <w:r w:rsidR="003A4BA6" w:rsidRPr="00EA6803">
        <w:rPr>
          <w:color w:val="auto"/>
          <w:lang w:val="en-GB"/>
        </w:rPr>
        <w:t>.</w:t>
      </w:r>
      <w:bookmarkEnd w:id="2"/>
    </w:p>
    <w:p w:rsidR="00121E9E" w:rsidRPr="00EA6803" w:rsidRDefault="00121E9E" w:rsidP="001F3C32">
      <w:pPr>
        <w:rPr>
          <w:lang w:val="en-GB"/>
        </w:rPr>
      </w:pPr>
    </w:p>
    <w:p w:rsidR="00121E9E" w:rsidRPr="00EA6803" w:rsidRDefault="00121E9E" w:rsidP="008766C9">
      <w:pPr>
        <w:pStyle w:val="ListParagraph"/>
        <w:rPr>
          <w:lang w:val="en-GB"/>
        </w:rPr>
      </w:pPr>
    </w:p>
    <w:p w:rsidR="000F6E16" w:rsidRPr="00EA6803" w:rsidRDefault="007C65E0" w:rsidP="00B50188">
      <w:pPr>
        <w:numPr>
          <w:ilvl w:val="0"/>
          <w:numId w:val="1"/>
        </w:numPr>
        <w:suppressAutoHyphens/>
        <w:autoSpaceDE w:val="0"/>
        <w:ind w:left="360" w:hanging="360"/>
        <w:jc w:val="both"/>
        <w:rPr>
          <w:b/>
          <w:bCs/>
          <w:lang w:val="en-GB"/>
        </w:rPr>
      </w:pPr>
      <w:r w:rsidRPr="00EA6803">
        <w:rPr>
          <w:b/>
          <w:bCs/>
          <w:lang w:val="en-GB"/>
        </w:rPr>
        <w:t>THE FACTS</w:t>
      </w:r>
    </w:p>
    <w:p w:rsidR="000F6E16" w:rsidRPr="00B62920" w:rsidRDefault="000F6E16" w:rsidP="000F6E16">
      <w:pPr>
        <w:suppressAutoHyphens/>
        <w:autoSpaceDE w:val="0"/>
        <w:ind w:left="360"/>
        <w:jc w:val="both"/>
        <w:rPr>
          <w:b/>
          <w:bCs/>
          <w:lang w:val="en-GB"/>
        </w:rPr>
      </w:pPr>
    </w:p>
    <w:p w:rsidR="00680EF0" w:rsidRPr="00B62920" w:rsidRDefault="00680EF0" w:rsidP="00B50188">
      <w:pPr>
        <w:numPr>
          <w:ilvl w:val="0"/>
          <w:numId w:val="3"/>
        </w:numPr>
        <w:contextualSpacing/>
        <w:jc w:val="both"/>
        <w:rPr>
          <w:b/>
          <w:lang w:val="en-GB"/>
        </w:rPr>
      </w:pPr>
      <w:r w:rsidRPr="00B62920">
        <w:rPr>
          <w:b/>
          <w:lang w:val="en-GB"/>
        </w:rPr>
        <w:t>General background</w:t>
      </w:r>
      <w:r w:rsidRPr="00B62920">
        <w:rPr>
          <w:rStyle w:val="FootnoteReference"/>
          <w:b/>
          <w:lang w:val="en-GB"/>
        </w:rPr>
        <w:footnoteReference w:id="2"/>
      </w:r>
      <w:r w:rsidRPr="00B62920">
        <w:rPr>
          <w:b/>
          <w:lang w:val="en-GB"/>
        </w:rPr>
        <w:t xml:space="preserve"> </w:t>
      </w:r>
    </w:p>
    <w:p w:rsidR="00680EF0" w:rsidRPr="00B62920" w:rsidRDefault="00680EF0" w:rsidP="00680EF0">
      <w:pPr>
        <w:ind w:left="360"/>
        <w:contextualSpacing/>
        <w:jc w:val="both"/>
        <w:rPr>
          <w:b/>
          <w:lang w:val="en-GB"/>
        </w:rPr>
      </w:pPr>
    </w:p>
    <w:p w:rsidR="00574094" w:rsidRPr="00B62920" w:rsidRDefault="00574094" w:rsidP="00574094">
      <w:pPr>
        <w:pStyle w:val="ListParagraph"/>
        <w:numPr>
          <w:ilvl w:val="0"/>
          <w:numId w:val="2"/>
        </w:numPr>
        <w:jc w:val="both"/>
        <w:rPr>
          <w:lang w:val="en-GB"/>
        </w:rPr>
      </w:pPr>
      <w:r w:rsidRPr="00B62920">
        <w:rPr>
          <w:lang w:val="en-GB"/>
        </w:rPr>
        <w:t>The events at issue took place in the territory of Kosovo</w:t>
      </w:r>
      <w:r w:rsidR="002948A6" w:rsidRPr="00B62920">
        <w:rPr>
          <w:lang w:val="en-GB"/>
        </w:rPr>
        <w:t xml:space="preserve"> </w:t>
      </w:r>
      <w:r w:rsidR="00144AF1" w:rsidRPr="00B62920">
        <w:rPr>
          <w:lang w:val="en-GB"/>
        </w:rPr>
        <w:t xml:space="preserve">shortly </w:t>
      </w:r>
      <w:r w:rsidR="00BC568C" w:rsidRPr="00B62920">
        <w:rPr>
          <w:lang w:val="en-GB"/>
        </w:rPr>
        <w:t>after</w:t>
      </w:r>
      <w:r w:rsidRPr="00B62920">
        <w:rPr>
          <w:lang w:val="en-GB"/>
        </w:rPr>
        <w:t xml:space="preserve"> the establishment in June 1999 of the United Nations Interim Administration Mission in Kosovo (UNMIK).</w:t>
      </w:r>
    </w:p>
    <w:p w:rsidR="00C75A82" w:rsidRPr="00B62920" w:rsidRDefault="00C75A82" w:rsidP="00C75A82">
      <w:pPr>
        <w:tabs>
          <w:tab w:val="left" w:pos="360"/>
        </w:tabs>
        <w:ind w:left="360" w:hanging="360"/>
        <w:jc w:val="both"/>
        <w:rPr>
          <w:lang w:val="en-GB"/>
        </w:rPr>
      </w:pPr>
    </w:p>
    <w:p w:rsidR="00C75A82" w:rsidRPr="00B62920" w:rsidRDefault="00C75A82" w:rsidP="00B50188">
      <w:pPr>
        <w:widowControl w:val="0"/>
        <w:numPr>
          <w:ilvl w:val="0"/>
          <w:numId w:val="2"/>
        </w:numPr>
        <w:tabs>
          <w:tab w:val="left" w:pos="1080"/>
        </w:tabs>
        <w:suppressAutoHyphens/>
        <w:jc w:val="both"/>
        <w:rPr>
          <w:lang w:val="en-GB"/>
        </w:rPr>
      </w:pPr>
      <w:r w:rsidRPr="00B62920">
        <w:rPr>
          <w:lang w:val="en-GB"/>
        </w:rPr>
        <w:t xml:space="preserve">The armed conflict during 1998 and 1999 between the Serbian forces on one side and the </w:t>
      </w:r>
      <w:r w:rsidRPr="00B62920">
        <w:rPr>
          <w:lang w:val="en-GB"/>
        </w:rPr>
        <w:lastRenderedPageBreak/>
        <w:t>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B62920" w:rsidRDefault="00C75A82" w:rsidP="00C75A82">
      <w:pPr>
        <w:tabs>
          <w:tab w:val="left" w:pos="360"/>
        </w:tabs>
        <w:ind w:left="360" w:hanging="360"/>
        <w:jc w:val="both"/>
        <w:rPr>
          <w:lang w:val="en-GB"/>
        </w:rPr>
      </w:pPr>
    </w:p>
    <w:p w:rsidR="00C75A82" w:rsidRPr="00B62920" w:rsidRDefault="00FE0FB0" w:rsidP="00FE0FB0">
      <w:pPr>
        <w:pStyle w:val="ListParagraph"/>
        <w:numPr>
          <w:ilvl w:val="0"/>
          <w:numId w:val="2"/>
        </w:numPr>
        <w:suppressAutoHyphens w:val="0"/>
        <w:contextualSpacing/>
        <w:jc w:val="both"/>
        <w:rPr>
          <w:lang w:val="en-GB"/>
        </w:rPr>
      </w:pPr>
      <w:bookmarkStart w:id="3" w:name="_Ref373941473"/>
      <w:r w:rsidRPr="00B62920">
        <w:rPr>
          <w:lang w:val="en-GB"/>
        </w:rPr>
        <w:t>O</w:t>
      </w:r>
      <w:r w:rsidR="00C75A82" w:rsidRPr="00B62920">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B62920" w:rsidRDefault="00C75A82" w:rsidP="00C75A82">
      <w:pPr>
        <w:tabs>
          <w:tab w:val="left" w:pos="360"/>
        </w:tabs>
        <w:ind w:left="360" w:hanging="360"/>
        <w:jc w:val="both"/>
        <w:rPr>
          <w:lang w:val="en-GB"/>
        </w:rPr>
      </w:pPr>
    </w:p>
    <w:p w:rsidR="00C75A82" w:rsidRPr="00B62920" w:rsidRDefault="00C75A82" w:rsidP="00B50188">
      <w:pPr>
        <w:pStyle w:val="ListParagraph"/>
        <w:numPr>
          <w:ilvl w:val="0"/>
          <w:numId w:val="2"/>
        </w:numPr>
        <w:suppressAutoHyphens w:val="0"/>
        <w:contextualSpacing/>
        <w:jc w:val="both"/>
        <w:rPr>
          <w:lang w:val="en-GB"/>
        </w:rPr>
      </w:pPr>
      <w:r w:rsidRPr="00B62920">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B62920" w:rsidRDefault="00C75A82" w:rsidP="00C75A82">
      <w:pPr>
        <w:pStyle w:val="ListParagraph"/>
        <w:tabs>
          <w:tab w:val="left" w:pos="360"/>
        </w:tabs>
        <w:ind w:left="360" w:hanging="360"/>
        <w:rPr>
          <w:lang w:val="en-GB"/>
        </w:rPr>
      </w:pPr>
    </w:p>
    <w:p w:rsidR="00C75A82" w:rsidRPr="00B62920" w:rsidRDefault="00C75A82" w:rsidP="00B50188">
      <w:pPr>
        <w:pStyle w:val="ListParagraph"/>
        <w:numPr>
          <w:ilvl w:val="0"/>
          <w:numId w:val="2"/>
        </w:numPr>
        <w:suppressAutoHyphens w:val="0"/>
        <w:contextualSpacing/>
        <w:jc w:val="both"/>
        <w:rPr>
          <w:lang w:val="en-GB"/>
        </w:rPr>
      </w:pPr>
      <w:r w:rsidRPr="00B62920">
        <w:rPr>
          <w:lang w:val="en-GB"/>
        </w:rPr>
        <w:t>Meanwhile, members of the non-Albanian community – mainly but not exclusively Serb</w:t>
      </w:r>
      <w:r w:rsidR="00AD0BB3">
        <w:rPr>
          <w:lang w:val="en-GB"/>
        </w:rPr>
        <w:t>ians</w:t>
      </w:r>
      <w:r w:rsidRPr="00B62920">
        <w:rPr>
          <w:lang w:val="en-GB"/>
        </w:rPr>
        <w:t xml:space="preserve">,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B62920" w:rsidRDefault="00C75A82" w:rsidP="00C75A82">
      <w:pPr>
        <w:pStyle w:val="ListParagraph"/>
        <w:tabs>
          <w:tab w:val="left" w:pos="360"/>
        </w:tabs>
        <w:ind w:left="360" w:hanging="360"/>
        <w:rPr>
          <w:lang w:val="en-GB"/>
        </w:rPr>
      </w:pPr>
    </w:p>
    <w:p w:rsidR="00C75A82" w:rsidRPr="00B62920" w:rsidRDefault="00C75A82" w:rsidP="00B50188">
      <w:pPr>
        <w:pStyle w:val="ListParagraph"/>
        <w:numPr>
          <w:ilvl w:val="0"/>
          <w:numId w:val="2"/>
        </w:numPr>
        <w:suppressAutoHyphens w:val="0"/>
        <w:contextualSpacing/>
        <w:jc w:val="both"/>
        <w:rPr>
          <w:lang w:val="en-GB"/>
        </w:rPr>
      </w:pPr>
      <w:r w:rsidRPr="00B62920">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w:t>
      </w:r>
      <w:r w:rsidR="00D5312D" w:rsidRPr="00B62920">
        <w:rPr>
          <w:lang w:val="en-GB"/>
        </w:rPr>
        <w:t xml:space="preserve"> by the end of 2010, while 1,653</w:t>
      </w:r>
      <w:r w:rsidRPr="00B62920">
        <w:rPr>
          <w:lang w:val="en-GB"/>
        </w:rPr>
        <w:t xml:space="preserve"> </w:t>
      </w:r>
      <w:r w:rsidRPr="00B62920">
        <w:rPr>
          <w:lang w:val="en-GB"/>
        </w:rPr>
        <w:lastRenderedPageBreak/>
        <w:t xml:space="preserve">are listed as still missing by the International Committee of the Red Cross (ICRC) as of </w:t>
      </w:r>
      <w:r w:rsidR="00D5312D" w:rsidRPr="00B62920">
        <w:rPr>
          <w:lang w:val="en-GB"/>
        </w:rPr>
        <w:t>May 2015</w:t>
      </w:r>
      <w:r w:rsidRPr="00B62920">
        <w:rPr>
          <w:lang w:val="en-GB"/>
        </w:rPr>
        <w:t>.</w:t>
      </w:r>
    </w:p>
    <w:p w:rsidR="00C75A82" w:rsidRPr="00B62920" w:rsidRDefault="00C75A82" w:rsidP="00C75A82">
      <w:pPr>
        <w:tabs>
          <w:tab w:val="left" w:pos="360"/>
        </w:tabs>
        <w:ind w:left="360" w:hanging="360"/>
        <w:jc w:val="both"/>
        <w:rPr>
          <w:lang w:val="en-GB"/>
        </w:rPr>
      </w:pPr>
    </w:p>
    <w:p w:rsidR="00C75A82" w:rsidRPr="00B62920" w:rsidRDefault="00C75A82" w:rsidP="00B50188">
      <w:pPr>
        <w:numPr>
          <w:ilvl w:val="0"/>
          <w:numId w:val="2"/>
        </w:numPr>
        <w:jc w:val="both"/>
        <w:rPr>
          <w:lang w:val="en-GB"/>
        </w:rPr>
      </w:pPr>
      <w:r w:rsidRPr="00B62920">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B62920" w:rsidRDefault="00C75A82" w:rsidP="00C75A82">
      <w:pPr>
        <w:pStyle w:val="ListParagraph"/>
        <w:tabs>
          <w:tab w:val="left" w:pos="360"/>
        </w:tabs>
        <w:ind w:left="360" w:hanging="360"/>
        <w:rPr>
          <w:lang w:val="en-GB"/>
        </w:rPr>
      </w:pPr>
    </w:p>
    <w:p w:rsidR="00C75A82" w:rsidRPr="00B62920" w:rsidRDefault="00C75A82" w:rsidP="00B50188">
      <w:pPr>
        <w:numPr>
          <w:ilvl w:val="0"/>
          <w:numId w:val="2"/>
        </w:numPr>
        <w:jc w:val="both"/>
        <w:rPr>
          <w:lang w:val="en-GB"/>
        </w:rPr>
      </w:pPr>
      <w:bookmarkStart w:id="4" w:name="_Ref346725038"/>
      <w:r w:rsidRPr="00B62920">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B62920">
        <w:rPr>
          <w:lang w:val="en-GB"/>
        </w:rPr>
        <w:t xml:space="preserve"> </w:t>
      </w:r>
    </w:p>
    <w:p w:rsidR="00C75A82" w:rsidRPr="00B62920" w:rsidRDefault="00C75A82" w:rsidP="00C75A82">
      <w:pPr>
        <w:tabs>
          <w:tab w:val="left" w:pos="360"/>
        </w:tabs>
        <w:ind w:left="360" w:hanging="360"/>
        <w:jc w:val="both"/>
        <w:rPr>
          <w:lang w:val="en-GB"/>
        </w:rPr>
      </w:pPr>
    </w:p>
    <w:p w:rsidR="00C75A82" w:rsidRPr="00B62920" w:rsidRDefault="00C75A82" w:rsidP="00B50188">
      <w:pPr>
        <w:numPr>
          <w:ilvl w:val="0"/>
          <w:numId w:val="2"/>
        </w:numPr>
        <w:jc w:val="both"/>
        <w:rPr>
          <w:lang w:val="en-GB"/>
        </w:rPr>
      </w:pPr>
      <w:bookmarkStart w:id="5" w:name="_Ref346123767"/>
      <w:r w:rsidRPr="00B62920">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B62920">
        <w:rPr>
          <w:lang w:val="en-GB"/>
        </w:rPr>
        <w:t xml:space="preserve"> </w:t>
      </w:r>
    </w:p>
    <w:p w:rsidR="00C75A82" w:rsidRPr="00B62920" w:rsidRDefault="00C75A82" w:rsidP="00C75A82">
      <w:pPr>
        <w:tabs>
          <w:tab w:val="left" w:pos="360"/>
        </w:tabs>
        <w:ind w:left="360" w:hanging="360"/>
        <w:jc w:val="both"/>
        <w:rPr>
          <w:lang w:val="en-GB"/>
        </w:rPr>
      </w:pPr>
    </w:p>
    <w:p w:rsidR="00C75A82" w:rsidRPr="00B62920" w:rsidRDefault="00C75A82" w:rsidP="00B50188">
      <w:pPr>
        <w:numPr>
          <w:ilvl w:val="0"/>
          <w:numId w:val="2"/>
        </w:numPr>
        <w:jc w:val="both"/>
        <w:rPr>
          <w:lang w:val="en-GB"/>
        </w:rPr>
      </w:pPr>
      <w:bookmarkStart w:id="6" w:name="_Ref346725040"/>
      <w:r w:rsidRPr="00B62920">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B62920">
        <w:rPr>
          <w:lang w:val="en-GB"/>
        </w:rPr>
        <w:t>persons</w:t>
      </w:r>
      <w:proofErr w:type="gramEnd"/>
      <w:r w:rsidRPr="00B62920">
        <w:rPr>
          <w:lang w:val="en-GB"/>
        </w:rPr>
        <w:t xml:space="preserve"> cases in Kosovo. In May 2000, a Victim Recovery and Identification Commission (VRIC) chaired by UNMIK was created for the recovery, identification and disposition of mortal remains.</w:t>
      </w:r>
      <w:r w:rsidR="00423598" w:rsidRPr="00B62920">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B62920">
        <w:rPr>
          <w:lang w:val="en-GB"/>
        </w:rPr>
        <w:t xml:space="preserve">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w:t>
      </w:r>
      <w:proofErr w:type="spellStart"/>
      <w:r w:rsidRPr="00B62920">
        <w:rPr>
          <w:lang w:val="en-GB"/>
        </w:rPr>
        <w:t>MoU</w:t>
      </w:r>
      <w:proofErr w:type="spellEnd"/>
      <w:r w:rsidRPr="00B62920">
        <w:rPr>
          <w:lang w:val="en-GB"/>
        </w:rPr>
        <w:t>) between UNMIK and the Sarajevo-based International Commission of Missing Persons (ICMP), supplemented by a further agreement in 2003, the identification of mortal remains was carried out by the ICMP through DNA testing.</w:t>
      </w:r>
      <w:bookmarkEnd w:id="6"/>
      <w:r w:rsidRPr="00B62920">
        <w:rPr>
          <w:lang w:val="en-GB"/>
        </w:rPr>
        <w:t xml:space="preserve"> </w:t>
      </w:r>
    </w:p>
    <w:p w:rsidR="00C75A82" w:rsidRPr="00B62920" w:rsidRDefault="00C75A82" w:rsidP="00C75A82">
      <w:pPr>
        <w:tabs>
          <w:tab w:val="left" w:pos="360"/>
        </w:tabs>
        <w:ind w:left="360" w:hanging="360"/>
        <w:jc w:val="both"/>
        <w:rPr>
          <w:lang w:val="en-GB"/>
        </w:rPr>
      </w:pPr>
    </w:p>
    <w:p w:rsidR="00C75A82" w:rsidRPr="00B62920" w:rsidRDefault="00C75A82" w:rsidP="00B50188">
      <w:pPr>
        <w:numPr>
          <w:ilvl w:val="0"/>
          <w:numId w:val="2"/>
        </w:numPr>
        <w:jc w:val="both"/>
        <w:rPr>
          <w:lang w:val="en-GB"/>
        </w:rPr>
      </w:pPr>
      <w:bookmarkStart w:id="7" w:name="_Ref346123927"/>
      <w:r w:rsidRPr="00B62920">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B62920" w:rsidRDefault="00C75A82" w:rsidP="00C75A82">
      <w:pPr>
        <w:pStyle w:val="ListParagraph"/>
        <w:tabs>
          <w:tab w:val="left" w:pos="360"/>
        </w:tabs>
        <w:ind w:left="360" w:hanging="360"/>
        <w:rPr>
          <w:lang w:val="en-GB"/>
        </w:rPr>
      </w:pPr>
    </w:p>
    <w:p w:rsidR="00680EF0" w:rsidRPr="00B62920" w:rsidRDefault="00C75A82" w:rsidP="00B50188">
      <w:pPr>
        <w:numPr>
          <w:ilvl w:val="0"/>
          <w:numId w:val="2"/>
        </w:numPr>
        <w:jc w:val="both"/>
        <w:rPr>
          <w:lang w:val="en-GB"/>
        </w:rPr>
      </w:pPr>
      <w:bookmarkStart w:id="8" w:name="_Ref346123928"/>
      <w:r w:rsidRPr="00B62920">
        <w:rPr>
          <w:lang w:val="en-GB"/>
        </w:rPr>
        <w:t xml:space="preserve">On the same date, UNMIK and EULEX signed a </w:t>
      </w:r>
      <w:proofErr w:type="spellStart"/>
      <w:r w:rsidRPr="00B62920">
        <w:rPr>
          <w:lang w:val="en-GB"/>
        </w:rPr>
        <w:t>MoU</w:t>
      </w:r>
      <w:proofErr w:type="spellEnd"/>
      <w:r w:rsidRPr="00B62920">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B62920">
        <w:rPr>
          <w:lang w:val="en-GB"/>
        </w:rPr>
        <w:t xml:space="preserve">supposed to be </w:t>
      </w:r>
      <w:r w:rsidRPr="00B62920">
        <w:rPr>
          <w:lang w:val="en-GB"/>
        </w:rPr>
        <w:t>handed over to EULEX.</w:t>
      </w:r>
      <w:bookmarkEnd w:id="8"/>
    </w:p>
    <w:p w:rsidR="00242881" w:rsidRPr="00B62920" w:rsidRDefault="00242881" w:rsidP="00A73D67">
      <w:pPr>
        <w:ind w:left="360"/>
        <w:jc w:val="both"/>
        <w:rPr>
          <w:lang w:val="en-GB"/>
        </w:rPr>
      </w:pPr>
    </w:p>
    <w:p w:rsidR="00647FB1" w:rsidRPr="00EA6803" w:rsidRDefault="00A73D67" w:rsidP="00963A53">
      <w:pPr>
        <w:pStyle w:val="ListParagraph"/>
        <w:numPr>
          <w:ilvl w:val="0"/>
          <w:numId w:val="3"/>
        </w:numPr>
        <w:autoSpaceDE w:val="0"/>
        <w:jc w:val="both"/>
        <w:rPr>
          <w:lang w:val="en-GB"/>
        </w:rPr>
      </w:pPr>
      <w:r w:rsidRPr="00EA6803">
        <w:rPr>
          <w:b/>
          <w:bCs/>
          <w:lang w:val="en-GB"/>
        </w:rPr>
        <w:t>Circumstances surrounding the</w:t>
      </w:r>
      <w:r w:rsidR="00963A53" w:rsidRPr="00EA6803">
        <w:rPr>
          <w:b/>
          <w:bCs/>
          <w:lang w:val="en-GB"/>
        </w:rPr>
        <w:t xml:space="preserve"> abduction and</w:t>
      </w:r>
      <w:r w:rsidR="008A0B27" w:rsidRPr="00EA6803">
        <w:rPr>
          <w:b/>
          <w:bCs/>
          <w:lang w:val="en-GB"/>
        </w:rPr>
        <w:t xml:space="preserve"> </w:t>
      </w:r>
      <w:r w:rsidR="001F0511" w:rsidRPr="00EA6803">
        <w:rPr>
          <w:b/>
          <w:bCs/>
          <w:lang w:val="en-GB"/>
        </w:rPr>
        <w:t>disappearance</w:t>
      </w:r>
      <w:r w:rsidR="00E77C72" w:rsidRPr="00EA6803">
        <w:rPr>
          <w:b/>
          <w:bCs/>
          <w:lang w:val="en-GB"/>
        </w:rPr>
        <w:t xml:space="preserve"> </w:t>
      </w:r>
      <w:r w:rsidR="00AD0BB3" w:rsidRPr="00EA6803">
        <w:rPr>
          <w:b/>
          <w:bCs/>
          <w:lang w:val="en-GB"/>
        </w:rPr>
        <w:t xml:space="preserve"> </w:t>
      </w:r>
      <w:r w:rsidR="00CE1874" w:rsidRPr="00EA6803">
        <w:rPr>
          <w:b/>
          <w:bCs/>
          <w:lang w:val="en-GB"/>
        </w:rPr>
        <w:t xml:space="preserve">of </w:t>
      </w:r>
      <w:proofErr w:type="spellStart"/>
      <w:r w:rsidR="00963A53" w:rsidRPr="00EA6803">
        <w:rPr>
          <w:b/>
        </w:rPr>
        <w:t>Mrs</w:t>
      </w:r>
      <w:proofErr w:type="spellEnd"/>
      <w:r w:rsidR="00963A53" w:rsidRPr="00EA6803">
        <w:rPr>
          <w:b/>
        </w:rPr>
        <w:t xml:space="preserve"> Vera </w:t>
      </w:r>
      <w:proofErr w:type="spellStart"/>
      <w:r w:rsidR="00963A53" w:rsidRPr="00EA6803">
        <w:rPr>
          <w:b/>
        </w:rPr>
        <w:t>Škripac</w:t>
      </w:r>
      <w:proofErr w:type="spellEnd"/>
    </w:p>
    <w:p w:rsidR="002A0226" w:rsidRPr="00EA6803" w:rsidRDefault="002A0226" w:rsidP="002A0226">
      <w:pPr>
        <w:pStyle w:val="Default"/>
      </w:pPr>
      <w:bookmarkStart w:id="9" w:name="_Ref389154703"/>
    </w:p>
    <w:p w:rsidR="002A0226" w:rsidRPr="00EA6803" w:rsidRDefault="002A0226" w:rsidP="002A0226">
      <w:pPr>
        <w:numPr>
          <w:ilvl w:val="0"/>
          <w:numId w:val="2"/>
        </w:numPr>
        <w:jc w:val="both"/>
        <w:rPr>
          <w:bCs/>
        </w:rPr>
      </w:pPr>
      <w:r w:rsidRPr="00EA6803">
        <w:t xml:space="preserve">The complainant is the son of </w:t>
      </w:r>
      <w:proofErr w:type="spellStart"/>
      <w:r w:rsidRPr="00EA6803">
        <w:t>Mrs</w:t>
      </w:r>
      <w:proofErr w:type="spellEnd"/>
      <w:r w:rsidRPr="00EA6803">
        <w:t xml:space="preserve"> Vera </w:t>
      </w:r>
      <w:proofErr w:type="spellStart"/>
      <w:r w:rsidRPr="00EA6803">
        <w:t>Škripac</w:t>
      </w:r>
      <w:proofErr w:type="spellEnd"/>
      <w:r w:rsidRPr="00EA6803">
        <w:t>.</w:t>
      </w:r>
    </w:p>
    <w:p w:rsidR="002A0226" w:rsidRPr="00EA6803" w:rsidRDefault="002A0226" w:rsidP="002A0226">
      <w:pPr>
        <w:jc w:val="both"/>
      </w:pPr>
    </w:p>
    <w:p w:rsidR="002A0226" w:rsidRPr="00EA6803" w:rsidRDefault="00A8513B" w:rsidP="002A0226">
      <w:pPr>
        <w:numPr>
          <w:ilvl w:val="0"/>
          <w:numId w:val="2"/>
        </w:numPr>
        <w:jc w:val="both"/>
      </w:pPr>
      <w:r w:rsidRPr="00EA6803">
        <w:t>The complainant states that his mother</w:t>
      </w:r>
      <w:r w:rsidR="002A0226" w:rsidRPr="00EA6803">
        <w:t xml:space="preserve"> was abducted from her flat in Prishtinё/Priština by unknown perpetrators on 12 September 1999. Since that time her whereabouts have remained unknown.</w:t>
      </w:r>
    </w:p>
    <w:p w:rsidR="002A0226" w:rsidRPr="00EA6803" w:rsidRDefault="002A0226" w:rsidP="002A0226">
      <w:pPr>
        <w:pStyle w:val="ListParagraph"/>
        <w:ind w:left="0"/>
      </w:pPr>
    </w:p>
    <w:p w:rsidR="004B00A9" w:rsidRPr="00EA6803" w:rsidRDefault="002A0226" w:rsidP="002A0226">
      <w:pPr>
        <w:numPr>
          <w:ilvl w:val="0"/>
          <w:numId w:val="2"/>
        </w:numPr>
        <w:jc w:val="both"/>
      </w:pPr>
      <w:r w:rsidRPr="00EA6803">
        <w:t xml:space="preserve">The complainant states that </w:t>
      </w:r>
      <w:proofErr w:type="spellStart"/>
      <w:r w:rsidR="00A8513B" w:rsidRPr="00EA6803">
        <w:t>Mrs</w:t>
      </w:r>
      <w:proofErr w:type="spellEnd"/>
      <w:r w:rsidR="00A8513B" w:rsidRPr="00EA6803">
        <w:t xml:space="preserve"> Vera </w:t>
      </w:r>
      <w:proofErr w:type="spellStart"/>
      <w:r w:rsidR="00A8513B" w:rsidRPr="00EA6803">
        <w:t>Škripac’s</w:t>
      </w:r>
      <w:proofErr w:type="spellEnd"/>
      <w:r w:rsidRPr="00EA6803">
        <w:t xml:space="preserve"> abduction was reported to</w:t>
      </w:r>
      <w:r w:rsidR="008F46E9" w:rsidRPr="00EA6803">
        <w:t xml:space="preserve"> the Yugoslav Red Cross, the ICRC</w:t>
      </w:r>
      <w:r w:rsidRPr="00EA6803">
        <w:t>, KFOR, UNMIK, includin</w:t>
      </w:r>
      <w:r w:rsidR="008F46E9" w:rsidRPr="00EA6803">
        <w:t>g the International Prosecutor at the District Public Prosecutor</w:t>
      </w:r>
      <w:r w:rsidRPr="00EA6803">
        <w:t xml:space="preserve"> Office</w:t>
      </w:r>
      <w:r w:rsidR="008F46E9" w:rsidRPr="00EA6803">
        <w:t xml:space="preserve"> (DPPO)</w:t>
      </w:r>
      <w:r w:rsidRPr="00EA6803">
        <w:t xml:space="preserve"> in </w:t>
      </w:r>
      <w:proofErr w:type="spellStart"/>
      <w:r w:rsidRPr="00EA6803">
        <w:t>Prishtinё</w:t>
      </w:r>
      <w:proofErr w:type="spellEnd"/>
      <w:r w:rsidRPr="00EA6803">
        <w:t>/</w:t>
      </w:r>
      <w:proofErr w:type="spellStart"/>
      <w:r w:rsidRPr="00EA6803">
        <w:t>Priština</w:t>
      </w:r>
      <w:proofErr w:type="spellEnd"/>
      <w:r w:rsidRPr="00EA6803">
        <w:t xml:space="preserve">, and other institutions. </w:t>
      </w:r>
    </w:p>
    <w:p w:rsidR="004B00A9" w:rsidRPr="00EA6803" w:rsidRDefault="004B00A9" w:rsidP="004B00A9">
      <w:pPr>
        <w:pStyle w:val="ListParagraph"/>
      </w:pPr>
    </w:p>
    <w:p w:rsidR="007C59C5" w:rsidRPr="00EA6803" w:rsidRDefault="002A0226" w:rsidP="007C59C5">
      <w:pPr>
        <w:numPr>
          <w:ilvl w:val="0"/>
          <w:numId w:val="2"/>
        </w:numPr>
        <w:jc w:val="both"/>
      </w:pPr>
      <w:r w:rsidRPr="00EA6803">
        <w:t>An ICRC trac</w:t>
      </w:r>
      <w:r w:rsidR="007C59C5" w:rsidRPr="00EA6803">
        <w:t xml:space="preserve">ing request for </w:t>
      </w:r>
      <w:proofErr w:type="spellStart"/>
      <w:r w:rsidR="007C59C5" w:rsidRPr="00EA6803">
        <w:t>Mrs</w:t>
      </w:r>
      <w:proofErr w:type="spellEnd"/>
      <w:r w:rsidR="007C59C5" w:rsidRPr="00EA6803">
        <w:t xml:space="preserve"> Vera </w:t>
      </w:r>
      <w:proofErr w:type="spellStart"/>
      <w:r w:rsidR="007C59C5" w:rsidRPr="00EA6803">
        <w:t>Škripac</w:t>
      </w:r>
      <w:proofErr w:type="spellEnd"/>
      <w:r w:rsidR="007C59C5" w:rsidRPr="00EA6803">
        <w:t>, indicating 11 September 1999 as the date of her disappearance,</w:t>
      </w:r>
      <w:r w:rsidRPr="00EA6803">
        <w:t xml:space="preserve"> remains </w:t>
      </w:r>
      <w:r w:rsidR="007C59C5" w:rsidRPr="00EA6803">
        <w:rPr>
          <w:bCs/>
        </w:rPr>
        <w:t>open</w:t>
      </w:r>
      <w:r w:rsidR="007C59C5" w:rsidRPr="00EA6803">
        <w:rPr>
          <w:vertAlign w:val="superscript"/>
        </w:rPr>
        <w:footnoteReference w:id="3"/>
      </w:r>
      <w:r w:rsidRPr="00EA6803">
        <w:t xml:space="preserve">. Likewise, her name appears in two lists of missing persons, communicated by the ICRC to UNMIK Police on 12 October 2001 and on 11 February 2002 respectively, as well as in the database compiled by the UNMIK </w:t>
      </w:r>
      <w:r w:rsidR="007C59C5" w:rsidRPr="00EA6803">
        <w:t>OMPF</w:t>
      </w:r>
      <w:r w:rsidR="007C59C5" w:rsidRPr="00EA6803">
        <w:rPr>
          <w:rStyle w:val="FootnoteReference"/>
          <w:bCs/>
          <w:color w:val="000000" w:themeColor="text1"/>
          <w:lang w:val="en-GB"/>
        </w:rPr>
        <w:footnoteReference w:id="4"/>
      </w:r>
      <w:r w:rsidR="007C59C5" w:rsidRPr="00EA6803">
        <w:t xml:space="preserve">. </w:t>
      </w:r>
      <w:r w:rsidR="00E16F11" w:rsidRPr="00EA6803">
        <w:rPr>
          <w:bCs/>
          <w:lang w:val="en-GB"/>
        </w:rPr>
        <w:t>The entries</w:t>
      </w:r>
      <w:r w:rsidR="007C59C5" w:rsidRPr="00EA6803">
        <w:rPr>
          <w:bCs/>
          <w:lang w:val="en-GB"/>
        </w:rPr>
        <w:t xml:space="preserve"> in relation to </w:t>
      </w:r>
      <w:proofErr w:type="spellStart"/>
      <w:r w:rsidR="007C59C5" w:rsidRPr="00EA6803">
        <w:t>Mrs</w:t>
      </w:r>
      <w:proofErr w:type="spellEnd"/>
      <w:r w:rsidR="007C59C5" w:rsidRPr="00EA6803">
        <w:t xml:space="preserve"> Vera </w:t>
      </w:r>
      <w:proofErr w:type="spellStart"/>
      <w:r w:rsidR="007C59C5" w:rsidRPr="00EA6803">
        <w:t>Škripac</w:t>
      </w:r>
      <w:proofErr w:type="spellEnd"/>
      <w:r w:rsidR="007C59C5" w:rsidRPr="00EA6803">
        <w:rPr>
          <w:bCs/>
          <w:lang w:val="en-GB"/>
        </w:rPr>
        <w:t xml:space="preserve"> in the </w:t>
      </w:r>
      <w:r w:rsidR="007C59C5" w:rsidRPr="00EA6803">
        <w:rPr>
          <w:lang w:val="en-GB"/>
        </w:rPr>
        <w:t>online database maintained by the ICMP</w:t>
      </w:r>
      <w:r w:rsidR="007C59C5" w:rsidRPr="00EA6803">
        <w:rPr>
          <w:rStyle w:val="FootnoteReference"/>
          <w:lang w:val="en-GB"/>
        </w:rPr>
        <w:footnoteReference w:id="5"/>
      </w:r>
      <w:r w:rsidR="007C59C5" w:rsidRPr="00EA6803">
        <w:rPr>
          <w:lang w:val="en-GB"/>
        </w:rPr>
        <w:t xml:space="preserve"> read in relevant fields: “Sufficient Reference Samples Collected” and “DNA match not found”.</w:t>
      </w:r>
    </w:p>
    <w:bookmarkEnd w:id="9"/>
    <w:p w:rsidR="00093691" w:rsidRPr="00EA6803" w:rsidRDefault="00093691" w:rsidP="00093691">
      <w:pPr>
        <w:jc w:val="both"/>
      </w:pPr>
    </w:p>
    <w:p w:rsidR="00D64ACA" w:rsidRPr="00EA6803" w:rsidRDefault="00D64ACA" w:rsidP="00D64ACA">
      <w:pPr>
        <w:jc w:val="both"/>
        <w:rPr>
          <w:lang w:val="en-GB"/>
        </w:rPr>
      </w:pPr>
      <w:r w:rsidRPr="00EA6803">
        <w:rPr>
          <w:b/>
          <w:lang w:val="en-GB"/>
        </w:rPr>
        <w:t>C. The investigation</w:t>
      </w:r>
    </w:p>
    <w:p w:rsidR="00D142E8" w:rsidRPr="00EA6803" w:rsidRDefault="00D142E8" w:rsidP="00D142E8">
      <w:pPr>
        <w:jc w:val="both"/>
        <w:rPr>
          <w:i/>
          <w:lang w:val="en-GB"/>
        </w:rPr>
      </w:pPr>
    </w:p>
    <w:p w:rsidR="00B30D31" w:rsidRPr="00B62920" w:rsidRDefault="00B30D31" w:rsidP="00B30D31">
      <w:pPr>
        <w:pStyle w:val="ListParagraph"/>
        <w:ind w:left="0"/>
        <w:jc w:val="both"/>
        <w:rPr>
          <w:i/>
          <w:lang w:val="en-GB"/>
        </w:rPr>
      </w:pPr>
      <w:bookmarkStart w:id="10" w:name="_Ref347322102"/>
      <w:bookmarkStart w:id="11" w:name="_Ref413845941"/>
      <w:bookmarkStart w:id="12" w:name="_Ref395005257"/>
      <w:r w:rsidRPr="00EA6803">
        <w:rPr>
          <w:i/>
          <w:lang w:val="en-GB"/>
        </w:rPr>
        <w:t>Disclosure of relevant files</w:t>
      </w:r>
    </w:p>
    <w:p w:rsidR="00B30D31" w:rsidRPr="00B62920" w:rsidRDefault="00B30D31" w:rsidP="00B30D31">
      <w:pPr>
        <w:pStyle w:val="Default"/>
        <w:suppressAutoHyphens/>
        <w:jc w:val="both"/>
        <w:rPr>
          <w:bCs/>
          <w:lang w:val="en-GB"/>
        </w:rPr>
      </w:pPr>
    </w:p>
    <w:p w:rsidR="00B30D31" w:rsidRPr="00EA6803" w:rsidRDefault="009B047F" w:rsidP="00B30D31">
      <w:pPr>
        <w:pStyle w:val="Default"/>
        <w:numPr>
          <w:ilvl w:val="0"/>
          <w:numId w:val="2"/>
        </w:numPr>
        <w:tabs>
          <w:tab w:val="left" w:pos="360"/>
        </w:tabs>
        <w:suppressAutoHyphens/>
        <w:jc w:val="both"/>
        <w:rPr>
          <w:bCs/>
          <w:lang w:val="en-GB"/>
        </w:rPr>
      </w:pPr>
      <w:bookmarkStart w:id="13" w:name="_Ref365886120"/>
      <w:bookmarkStart w:id="14" w:name="_Ref348357381"/>
      <w:bookmarkEnd w:id="10"/>
      <w:r w:rsidRPr="00EA6803">
        <w:rPr>
          <w:lang w:val="en-GB"/>
        </w:rPr>
        <w:t>On 7 July 2015</w:t>
      </w:r>
      <w:r w:rsidR="00B30D31" w:rsidRPr="00EA6803">
        <w:rPr>
          <w:lang w:val="en-GB"/>
        </w:rPr>
        <w:t xml:space="preserve">, </w:t>
      </w:r>
      <w:r w:rsidR="00B30D31" w:rsidRPr="00EA6803">
        <w:rPr>
          <w:bCs/>
          <w:lang w:val="en-GB"/>
        </w:rPr>
        <w:t xml:space="preserve">UNMIK provided to the Panel documents </w:t>
      </w:r>
      <w:r w:rsidR="00B30D31" w:rsidRPr="00EA6803">
        <w:rPr>
          <w:lang w:val="en-GB"/>
        </w:rPr>
        <w:t xml:space="preserve">which were </w:t>
      </w:r>
      <w:r w:rsidRPr="00EA6803">
        <w:rPr>
          <w:lang w:val="en-GB"/>
        </w:rPr>
        <w:t>held previously by the UNMIK OMPF</w:t>
      </w:r>
      <w:r w:rsidR="00B30D31" w:rsidRPr="00EA6803">
        <w:rPr>
          <w:lang w:val="en-GB"/>
        </w:rPr>
        <w:t xml:space="preserve"> and </w:t>
      </w:r>
      <w:r w:rsidRPr="00EA6803">
        <w:rPr>
          <w:lang w:val="en-GB"/>
        </w:rPr>
        <w:t xml:space="preserve">the UNMIK Police </w:t>
      </w:r>
      <w:r w:rsidR="00B30D31" w:rsidRPr="00EA6803">
        <w:rPr>
          <w:lang w:val="en-GB"/>
        </w:rPr>
        <w:t xml:space="preserve">WCIU. On </w:t>
      </w:r>
      <w:r w:rsidR="008F46E9" w:rsidRPr="00EA6803">
        <w:rPr>
          <w:lang w:val="en-GB"/>
        </w:rPr>
        <w:t>27</w:t>
      </w:r>
      <w:r w:rsidRPr="00EA6803">
        <w:rPr>
          <w:lang w:val="en-GB"/>
        </w:rPr>
        <w:t xml:space="preserve"> August</w:t>
      </w:r>
      <w:r w:rsidR="00B30D31" w:rsidRPr="00EA6803">
        <w:rPr>
          <w:lang w:val="en-GB"/>
        </w:rPr>
        <w:t xml:space="preserve"> 2015, UNMIK confirmed to the Panel that all files in UNMIK’s possession have been disclosed.</w:t>
      </w:r>
      <w:bookmarkEnd w:id="13"/>
      <w:bookmarkEnd w:id="14"/>
    </w:p>
    <w:p w:rsidR="00B30D31" w:rsidRPr="00EA6803" w:rsidRDefault="00B30D31" w:rsidP="00B30D31">
      <w:pPr>
        <w:pStyle w:val="Default"/>
        <w:suppressAutoHyphens/>
        <w:ind w:left="360"/>
        <w:jc w:val="both"/>
        <w:rPr>
          <w:bCs/>
          <w:lang w:val="en-GB"/>
        </w:rPr>
      </w:pPr>
    </w:p>
    <w:p w:rsidR="00EA6803" w:rsidRPr="00EA6803" w:rsidRDefault="00B30D31" w:rsidP="00EA6803">
      <w:pPr>
        <w:widowControl w:val="0"/>
        <w:numPr>
          <w:ilvl w:val="0"/>
          <w:numId w:val="2"/>
        </w:numPr>
        <w:tabs>
          <w:tab w:val="left" w:pos="360"/>
          <w:tab w:val="num" w:pos="630"/>
          <w:tab w:val="left" w:pos="1080"/>
        </w:tabs>
        <w:suppressAutoHyphens/>
        <w:jc w:val="both"/>
        <w:rPr>
          <w:bCs/>
          <w:lang w:val="en-GB"/>
        </w:rPr>
      </w:pPr>
      <w:r w:rsidRPr="00EA6803">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6D592F" w:rsidRPr="00EA6803" w:rsidRDefault="006D592F" w:rsidP="006D592F">
      <w:pPr>
        <w:pStyle w:val="ListParagraph"/>
        <w:rPr>
          <w:bCs/>
          <w:i/>
          <w:lang w:val="en-GB"/>
        </w:rPr>
      </w:pPr>
    </w:p>
    <w:p w:rsidR="006D592F" w:rsidRPr="00EA6803" w:rsidRDefault="00CA5FD3" w:rsidP="00CA5FD3">
      <w:pPr>
        <w:widowControl w:val="0"/>
        <w:tabs>
          <w:tab w:val="left" w:pos="1080"/>
        </w:tabs>
        <w:suppressAutoHyphens/>
        <w:ind w:left="360"/>
        <w:jc w:val="both"/>
        <w:rPr>
          <w:bCs/>
          <w:i/>
          <w:lang w:val="en-GB"/>
        </w:rPr>
      </w:pPr>
      <w:r w:rsidRPr="00EA6803">
        <w:rPr>
          <w:bCs/>
          <w:i/>
          <w:lang w:val="en-GB"/>
        </w:rPr>
        <w:t xml:space="preserve">The OMPF file </w:t>
      </w:r>
    </w:p>
    <w:p w:rsidR="004A1525" w:rsidRPr="00EA6803" w:rsidRDefault="004A1525" w:rsidP="00EA6803">
      <w:pPr>
        <w:widowControl w:val="0"/>
        <w:tabs>
          <w:tab w:val="left" w:pos="1080"/>
        </w:tabs>
        <w:contextualSpacing/>
        <w:jc w:val="both"/>
        <w:rPr>
          <w:lang w:val="en-GB" w:eastAsia="en-GB"/>
        </w:rPr>
      </w:pPr>
      <w:bookmarkStart w:id="15" w:name="_Ref400531993"/>
      <w:bookmarkStart w:id="16" w:name="_Ref401303826"/>
      <w:bookmarkStart w:id="17" w:name="_Ref419798906"/>
      <w:bookmarkEnd w:id="11"/>
      <w:bookmarkEnd w:id="12"/>
    </w:p>
    <w:p w:rsidR="00EA6803" w:rsidRPr="00EA6803" w:rsidRDefault="00EA6803" w:rsidP="00EA6803">
      <w:pPr>
        <w:pStyle w:val="ListParagraph"/>
        <w:widowControl w:val="0"/>
        <w:numPr>
          <w:ilvl w:val="0"/>
          <w:numId w:val="2"/>
        </w:numPr>
        <w:tabs>
          <w:tab w:val="left" w:pos="360"/>
          <w:tab w:val="left" w:pos="1080"/>
        </w:tabs>
        <w:contextualSpacing/>
        <w:jc w:val="both"/>
        <w:rPr>
          <w:lang w:val="en-GB" w:eastAsia="en-GB"/>
        </w:rPr>
      </w:pPr>
      <w:r>
        <w:rPr>
          <w:lang w:val="en-GB" w:eastAsia="en-GB"/>
        </w:rPr>
        <w:t xml:space="preserve">The earliest document in the OMPF file is an UNMIK Police Enquiry Form, which states that </w:t>
      </w:r>
      <w:r w:rsidRPr="00EA6803">
        <w:rPr>
          <w:lang w:val="en-GB" w:eastAsia="en-GB"/>
        </w:rPr>
        <w:t xml:space="preserve">on 27 and on 29 August 1999 a named Kosovo Albanian had called to inform the police that some unspecified persons were knocking at </w:t>
      </w:r>
      <w:proofErr w:type="spellStart"/>
      <w:r w:rsidRPr="00EA6803">
        <w:t>Mrs</w:t>
      </w:r>
      <w:proofErr w:type="spellEnd"/>
      <w:r w:rsidRPr="00EA6803">
        <w:t xml:space="preserve"> Vera </w:t>
      </w:r>
      <w:proofErr w:type="spellStart"/>
      <w:r w:rsidRPr="00EA6803">
        <w:t>Škripac’s</w:t>
      </w:r>
      <w:proofErr w:type="spellEnd"/>
      <w:r w:rsidRPr="00EA6803">
        <w:t xml:space="preserve"> door and threatening her into leaving the flat. The Form states that the case had been “passed” from the UNMIK Police to the KFOR.</w:t>
      </w:r>
    </w:p>
    <w:p w:rsidR="00BA1204" w:rsidRPr="00BA1204" w:rsidRDefault="00BA1204" w:rsidP="00BA1204">
      <w:pPr>
        <w:pStyle w:val="ListParagraph"/>
        <w:rPr>
          <w:highlight w:val="yellow"/>
          <w:lang w:val="en-GB" w:eastAsia="en-GB"/>
        </w:rPr>
      </w:pPr>
    </w:p>
    <w:p w:rsidR="001C1B28" w:rsidRPr="00EA6803" w:rsidRDefault="00BA1204" w:rsidP="002D281B">
      <w:pPr>
        <w:pStyle w:val="ListParagraph"/>
        <w:widowControl w:val="0"/>
        <w:numPr>
          <w:ilvl w:val="0"/>
          <w:numId w:val="2"/>
        </w:numPr>
        <w:tabs>
          <w:tab w:val="left" w:pos="360"/>
          <w:tab w:val="left" w:pos="1080"/>
        </w:tabs>
        <w:contextualSpacing/>
        <w:jc w:val="both"/>
        <w:rPr>
          <w:lang w:val="en-GB" w:eastAsia="en-GB"/>
        </w:rPr>
      </w:pPr>
      <w:r w:rsidRPr="00EA6803">
        <w:rPr>
          <w:lang w:val="en-GB" w:eastAsia="en-GB"/>
        </w:rPr>
        <w:t>T</w:t>
      </w:r>
      <w:r w:rsidR="002D281B" w:rsidRPr="00EA6803">
        <w:rPr>
          <w:lang w:val="en-GB" w:eastAsia="en-GB"/>
        </w:rPr>
        <w:t>he</w:t>
      </w:r>
      <w:r w:rsidRPr="00EA6803">
        <w:rPr>
          <w:lang w:val="en-GB" w:eastAsia="en-GB"/>
        </w:rPr>
        <w:t xml:space="preserve"> outcome</w:t>
      </w:r>
      <w:r w:rsidR="002D281B" w:rsidRPr="00EA6803">
        <w:rPr>
          <w:lang w:val="en-GB" w:eastAsia="en-GB"/>
        </w:rPr>
        <w:t xml:space="preserve"> of an early investigation carried out into the abduction and disappearance of </w:t>
      </w:r>
      <w:proofErr w:type="spellStart"/>
      <w:r w:rsidR="002D281B" w:rsidRPr="00EA6803">
        <w:t>Mrs</w:t>
      </w:r>
      <w:proofErr w:type="spellEnd"/>
      <w:r w:rsidR="002D281B" w:rsidRPr="00EA6803">
        <w:t xml:space="preserve"> Vera </w:t>
      </w:r>
      <w:proofErr w:type="spellStart"/>
      <w:r w:rsidR="002D281B" w:rsidRPr="00EA6803">
        <w:t>Škripac</w:t>
      </w:r>
      <w:proofErr w:type="spellEnd"/>
      <w:r w:rsidR="002D281B" w:rsidRPr="00EA6803">
        <w:rPr>
          <w:lang w:val="en-GB" w:eastAsia="en-GB"/>
        </w:rPr>
        <w:t xml:space="preserve"> is</w:t>
      </w:r>
      <w:r w:rsidRPr="00EA6803">
        <w:rPr>
          <w:lang w:val="en-GB" w:eastAsia="en-GB"/>
        </w:rPr>
        <w:t xml:space="preserve"> summarised in a Conclusion Report of the UNMIK Police</w:t>
      </w:r>
      <w:r w:rsidR="00FD32E8" w:rsidRPr="00EA6803">
        <w:rPr>
          <w:lang w:val="en-GB" w:eastAsia="en-GB"/>
        </w:rPr>
        <w:t>,</w:t>
      </w:r>
      <w:r w:rsidRPr="00EA6803">
        <w:rPr>
          <w:lang w:val="en-GB" w:eastAsia="en-GB"/>
        </w:rPr>
        <w:t xml:space="preserve"> dated 24 September 1999</w:t>
      </w:r>
      <w:r w:rsidR="00FD32E8" w:rsidRPr="00EA6803">
        <w:rPr>
          <w:lang w:val="en-GB" w:eastAsia="en-GB"/>
        </w:rPr>
        <w:t>,</w:t>
      </w:r>
      <w:r w:rsidR="00A8513B" w:rsidRPr="00EA6803">
        <w:rPr>
          <w:lang w:val="en-GB" w:eastAsia="en-GB"/>
        </w:rPr>
        <w:t xml:space="preserve"> which is included in the file</w:t>
      </w:r>
      <w:r w:rsidRPr="00EA6803">
        <w:rPr>
          <w:lang w:val="en-GB" w:eastAsia="en-GB"/>
        </w:rPr>
        <w:t xml:space="preserve">. </w:t>
      </w:r>
      <w:r w:rsidR="002D281B" w:rsidRPr="00EA6803">
        <w:rPr>
          <w:lang w:val="en-GB" w:eastAsia="en-GB"/>
        </w:rPr>
        <w:t>The</w:t>
      </w:r>
      <w:r w:rsidR="00D1540A" w:rsidRPr="00EA6803">
        <w:rPr>
          <w:lang w:val="en-GB" w:eastAsia="en-GB"/>
        </w:rPr>
        <w:t xml:space="preserve"> Report</w:t>
      </w:r>
      <w:r w:rsidR="002D4E42" w:rsidRPr="00EA6803">
        <w:rPr>
          <w:lang w:val="en-GB" w:eastAsia="en-GB"/>
        </w:rPr>
        <w:t xml:space="preserve"> also</w:t>
      </w:r>
      <w:r w:rsidR="00D1540A" w:rsidRPr="00EA6803">
        <w:rPr>
          <w:lang w:val="en-GB" w:eastAsia="en-GB"/>
        </w:rPr>
        <w:t xml:space="preserve"> states that o</w:t>
      </w:r>
      <w:r w:rsidR="00316A38" w:rsidRPr="00EA6803">
        <w:rPr>
          <w:lang w:val="en-GB" w:eastAsia="en-GB"/>
        </w:rPr>
        <w:t>n 13</w:t>
      </w:r>
      <w:r w:rsidR="00D1540A" w:rsidRPr="00EA6803">
        <w:rPr>
          <w:lang w:val="en-GB" w:eastAsia="en-GB"/>
        </w:rPr>
        <w:t xml:space="preserve"> September 1</w:t>
      </w:r>
      <w:r w:rsidR="002D281B" w:rsidRPr="00EA6803">
        <w:rPr>
          <w:lang w:val="en-GB" w:eastAsia="en-GB"/>
        </w:rPr>
        <w:t>999 the KFOR had gone</w:t>
      </w:r>
      <w:r w:rsidR="00D1540A" w:rsidRPr="00EA6803">
        <w:rPr>
          <w:lang w:val="en-GB" w:eastAsia="en-GB"/>
        </w:rPr>
        <w:t xml:space="preserve"> to the flat of Mrs </w:t>
      </w:r>
      <w:r w:rsidR="00D1540A" w:rsidRPr="00EA6803">
        <w:t xml:space="preserve">Vera </w:t>
      </w:r>
      <w:proofErr w:type="spellStart"/>
      <w:r w:rsidR="00D1540A" w:rsidRPr="00EA6803">
        <w:t>Škripac</w:t>
      </w:r>
      <w:proofErr w:type="spellEnd"/>
      <w:r w:rsidR="00FD32E8" w:rsidRPr="00EA6803">
        <w:t>,</w:t>
      </w:r>
      <w:r w:rsidR="00D1540A" w:rsidRPr="00EA6803">
        <w:t xml:space="preserve"> </w:t>
      </w:r>
      <w:r w:rsidR="002D281B" w:rsidRPr="00EA6803">
        <w:t xml:space="preserve">which had been </w:t>
      </w:r>
      <w:r w:rsidR="00D1540A" w:rsidRPr="00EA6803">
        <w:t xml:space="preserve">broken into, damaged and looted. No trace of </w:t>
      </w:r>
      <w:r w:rsidR="00D1540A" w:rsidRPr="00EA6803">
        <w:rPr>
          <w:lang w:val="en-GB" w:eastAsia="en-GB"/>
        </w:rPr>
        <w:t xml:space="preserve">Mrs </w:t>
      </w:r>
      <w:r w:rsidR="00D1540A" w:rsidRPr="00EA6803">
        <w:t xml:space="preserve">Vera </w:t>
      </w:r>
      <w:proofErr w:type="spellStart"/>
      <w:r w:rsidR="00D1540A" w:rsidRPr="00EA6803">
        <w:t>Škripac</w:t>
      </w:r>
      <w:proofErr w:type="spellEnd"/>
      <w:r w:rsidR="00D1540A" w:rsidRPr="00EA6803">
        <w:t xml:space="preserve"> could be found</w:t>
      </w:r>
      <w:r w:rsidR="00A8513B" w:rsidRPr="00EA6803">
        <w:t xml:space="preserve"> in her flat</w:t>
      </w:r>
      <w:r w:rsidR="00D1540A" w:rsidRPr="00EA6803">
        <w:t xml:space="preserve">. </w:t>
      </w:r>
    </w:p>
    <w:p w:rsidR="001C1B28" w:rsidRPr="00EA6803" w:rsidRDefault="001C1B28" w:rsidP="001C1B28">
      <w:pPr>
        <w:pStyle w:val="ListParagraph"/>
      </w:pPr>
    </w:p>
    <w:p w:rsidR="004A1525" w:rsidRPr="00EA6803" w:rsidRDefault="002D281B" w:rsidP="002D281B">
      <w:pPr>
        <w:pStyle w:val="ListParagraph"/>
        <w:widowControl w:val="0"/>
        <w:numPr>
          <w:ilvl w:val="0"/>
          <w:numId w:val="2"/>
        </w:numPr>
        <w:tabs>
          <w:tab w:val="left" w:pos="360"/>
          <w:tab w:val="left" w:pos="1080"/>
        </w:tabs>
        <w:contextualSpacing/>
        <w:jc w:val="both"/>
        <w:rPr>
          <w:lang w:val="en-GB" w:eastAsia="en-GB"/>
        </w:rPr>
      </w:pPr>
      <w:r w:rsidRPr="00EA6803">
        <w:t>According to the same Report, o</w:t>
      </w:r>
      <w:r w:rsidR="00D1540A" w:rsidRPr="00EA6803">
        <w:t>n 21 September 1999</w:t>
      </w:r>
      <w:r w:rsidR="00FD32E8" w:rsidRPr="00EA6803">
        <w:t xml:space="preserve"> </w:t>
      </w:r>
      <w:proofErr w:type="spellStart"/>
      <w:r w:rsidR="008F46E9" w:rsidRPr="00EA6803">
        <w:t>Ms</w:t>
      </w:r>
      <w:proofErr w:type="spellEnd"/>
      <w:r w:rsidR="008F46E9" w:rsidRPr="00EA6803">
        <w:t xml:space="preserve"> </w:t>
      </w:r>
      <w:r w:rsidR="00316A38" w:rsidRPr="00EA6803">
        <w:t>J.S.,</w:t>
      </w:r>
      <w:r w:rsidR="008F46E9" w:rsidRPr="00EA6803">
        <w:t xml:space="preserve"> an</w:t>
      </w:r>
      <w:r w:rsidR="00316A38" w:rsidRPr="00EA6803">
        <w:t xml:space="preserve"> UNMIK Police officer, </w:t>
      </w:r>
      <w:r w:rsidRPr="00EA6803">
        <w:t>had filed a report with</w:t>
      </w:r>
      <w:r w:rsidR="00316A38" w:rsidRPr="00EA6803">
        <w:t xml:space="preserve"> UNMIK Police</w:t>
      </w:r>
      <w:r w:rsidRPr="00EA6803">
        <w:t xml:space="preserve"> concerning</w:t>
      </w:r>
      <w:r w:rsidR="00316A38" w:rsidRPr="00EA6803">
        <w:t xml:space="preserve"> the disappearance of </w:t>
      </w:r>
      <w:proofErr w:type="spellStart"/>
      <w:r w:rsidR="00316A38" w:rsidRPr="00EA6803">
        <w:t>Mrs</w:t>
      </w:r>
      <w:proofErr w:type="spellEnd"/>
      <w:r w:rsidR="00316A38" w:rsidRPr="00EA6803">
        <w:t xml:space="preserve"> Vera </w:t>
      </w:r>
      <w:proofErr w:type="spellStart"/>
      <w:r w:rsidR="00316A38" w:rsidRPr="00EA6803">
        <w:t>Škripac</w:t>
      </w:r>
      <w:proofErr w:type="spellEnd"/>
      <w:r w:rsidR="009F5EC2" w:rsidRPr="00EA6803">
        <w:t xml:space="preserve">. In her witness statement (a copy of which is </w:t>
      </w:r>
      <w:r w:rsidR="001C1B28" w:rsidRPr="00EA6803">
        <w:t xml:space="preserve">attached </w:t>
      </w:r>
      <w:r w:rsidR="00FD32E8" w:rsidRPr="00EA6803">
        <w:t xml:space="preserve"> </w:t>
      </w:r>
      <w:r w:rsidR="001C1B28" w:rsidRPr="00EA6803">
        <w:t xml:space="preserve">to the Conclusion Report), </w:t>
      </w:r>
      <w:proofErr w:type="spellStart"/>
      <w:r w:rsidR="008F46E9" w:rsidRPr="00EA6803">
        <w:t>Ms</w:t>
      </w:r>
      <w:proofErr w:type="spellEnd"/>
      <w:r w:rsidR="008F46E9" w:rsidRPr="00EA6803">
        <w:t xml:space="preserve"> </w:t>
      </w:r>
      <w:r w:rsidR="001C1B28" w:rsidRPr="00EA6803">
        <w:t>J.S. stated</w:t>
      </w:r>
      <w:r w:rsidR="009F5EC2" w:rsidRPr="00EA6803">
        <w:t xml:space="preserve"> that </w:t>
      </w:r>
      <w:r w:rsidR="009F5EC2" w:rsidRPr="00EA6803">
        <w:rPr>
          <w:lang w:val="en-GB" w:eastAsia="en-GB"/>
        </w:rPr>
        <w:t xml:space="preserve">Mrs </w:t>
      </w:r>
      <w:r w:rsidR="009F5EC2" w:rsidRPr="00EA6803">
        <w:t xml:space="preserve">Vera </w:t>
      </w:r>
      <w:proofErr w:type="spellStart"/>
      <w:r w:rsidR="009F5EC2" w:rsidRPr="00EA6803">
        <w:t>Škripac</w:t>
      </w:r>
      <w:proofErr w:type="spellEnd"/>
      <w:r w:rsidR="009F5EC2" w:rsidRPr="00EA6803">
        <w:t xml:space="preserve"> </w:t>
      </w:r>
      <w:r w:rsidR="00E16F11" w:rsidRPr="00EA6803">
        <w:t>had been abducted in</w:t>
      </w:r>
      <w:r w:rsidR="00316A38" w:rsidRPr="00EA6803">
        <w:t xml:space="preserve"> the presence of her lawyer, Mr B.K</w:t>
      </w:r>
      <w:r w:rsidR="00160A92" w:rsidRPr="00EA6803">
        <w:t>.</w:t>
      </w:r>
      <w:r w:rsidR="009F5EC2" w:rsidRPr="00EA6803">
        <w:t xml:space="preserve"> (telephone no. provided)</w:t>
      </w:r>
      <w:r w:rsidR="00316A38" w:rsidRPr="00EA6803">
        <w:t>. It is</w:t>
      </w:r>
      <w:r w:rsidR="007F49DA" w:rsidRPr="00EA6803">
        <w:t xml:space="preserve"> also</w:t>
      </w:r>
      <w:r w:rsidR="001C1B28" w:rsidRPr="00EA6803">
        <w:t xml:space="preserve"> stated in</w:t>
      </w:r>
      <w:r w:rsidR="008F46E9" w:rsidRPr="00EA6803">
        <w:t xml:space="preserve"> </w:t>
      </w:r>
      <w:proofErr w:type="spellStart"/>
      <w:r w:rsidR="008F46E9" w:rsidRPr="00EA6803">
        <w:t>Ms</w:t>
      </w:r>
      <w:proofErr w:type="spellEnd"/>
      <w:r w:rsidR="001C1B28" w:rsidRPr="00EA6803">
        <w:t xml:space="preserve"> J.S</w:t>
      </w:r>
      <w:r w:rsidR="00D42659" w:rsidRPr="00EA6803">
        <w:t>.</w:t>
      </w:r>
      <w:r w:rsidR="001C1B28" w:rsidRPr="00EA6803">
        <w:t>’s</w:t>
      </w:r>
      <w:r w:rsidR="007F49DA" w:rsidRPr="00EA6803">
        <w:t xml:space="preserve"> witness statement</w:t>
      </w:r>
      <w:r w:rsidR="00316A38" w:rsidRPr="00EA6803">
        <w:t xml:space="preserve"> that</w:t>
      </w:r>
      <w:r w:rsidR="001C1B28" w:rsidRPr="00EA6803">
        <w:t xml:space="preserve"> it was the fou</w:t>
      </w:r>
      <w:r w:rsidR="00E16F11" w:rsidRPr="00EA6803">
        <w:t>rth time she had reported</w:t>
      </w:r>
      <w:r w:rsidR="001C1B28" w:rsidRPr="00EA6803">
        <w:t xml:space="preserve"> the disappearance of </w:t>
      </w:r>
      <w:proofErr w:type="spellStart"/>
      <w:r w:rsidR="001C1B28" w:rsidRPr="00EA6803">
        <w:t>Mrs</w:t>
      </w:r>
      <w:proofErr w:type="spellEnd"/>
      <w:r w:rsidR="001C1B28" w:rsidRPr="00EA6803">
        <w:t xml:space="preserve"> Vera </w:t>
      </w:r>
      <w:proofErr w:type="spellStart"/>
      <w:r w:rsidR="001C1B28" w:rsidRPr="00EA6803">
        <w:t>Škripac</w:t>
      </w:r>
      <w:proofErr w:type="spellEnd"/>
      <w:r w:rsidR="00D42659" w:rsidRPr="00EA6803">
        <w:t xml:space="preserve"> </w:t>
      </w:r>
      <w:r w:rsidR="00316A38" w:rsidRPr="00EA6803">
        <w:t>but</w:t>
      </w:r>
      <w:r w:rsidR="00E16F11" w:rsidRPr="00EA6803">
        <w:t>, until then,</w:t>
      </w:r>
      <w:r w:rsidR="00316A38" w:rsidRPr="00EA6803">
        <w:t xml:space="preserve"> no</w:t>
      </w:r>
      <w:r w:rsidR="00E16F11" w:rsidRPr="00EA6803">
        <w:t xml:space="preserve"> investigation had been undertaken</w:t>
      </w:r>
      <w:r w:rsidR="001C1B28" w:rsidRPr="00EA6803">
        <w:t>.</w:t>
      </w:r>
      <w:r w:rsidRPr="00EA6803">
        <w:t xml:space="preserve"> </w:t>
      </w:r>
      <w:r w:rsidR="00D42659" w:rsidRPr="00EA6803">
        <w:rPr>
          <w:lang w:val="en-GB" w:eastAsia="en-GB"/>
        </w:rPr>
        <w:t xml:space="preserve">The Conclusion Report further states that, </w:t>
      </w:r>
      <w:r w:rsidR="00A8513B" w:rsidRPr="00EA6803">
        <w:rPr>
          <w:lang w:val="en-GB" w:eastAsia="en-GB"/>
        </w:rPr>
        <w:t>upon</w:t>
      </w:r>
      <w:r w:rsidR="000303E4">
        <w:rPr>
          <w:lang w:val="en-GB" w:eastAsia="en-GB"/>
        </w:rPr>
        <w:t xml:space="preserve"> Ms</w:t>
      </w:r>
      <w:r w:rsidR="00A8513B" w:rsidRPr="00EA6803">
        <w:rPr>
          <w:lang w:val="en-GB" w:eastAsia="en-GB"/>
        </w:rPr>
        <w:t xml:space="preserve"> J.S.’s report,</w:t>
      </w:r>
      <w:r w:rsidRPr="00EA6803">
        <w:rPr>
          <w:lang w:val="en-GB" w:eastAsia="en-GB"/>
        </w:rPr>
        <w:t xml:space="preserve"> </w:t>
      </w:r>
      <w:r w:rsidR="00D42659" w:rsidRPr="00EA6803">
        <w:rPr>
          <w:lang w:val="en-GB" w:eastAsia="en-GB"/>
        </w:rPr>
        <w:t>on 21 September 1999, UNMIK Police investigators had gone to Mrs</w:t>
      </w:r>
      <w:r w:rsidR="00D42659" w:rsidRPr="00EA6803">
        <w:t xml:space="preserve"> Vera </w:t>
      </w:r>
      <w:proofErr w:type="spellStart"/>
      <w:r w:rsidR="00D42659" w:rsidRPr="00EA6803">
        <w:t>Škripac’s</w:t>
      </w:r>
      <w:proofErr w:type="spellEnd"/>
      <w:r w:rsidR="00D42659" w:rsidRPr="00EA6803">
        <w:t xml:space="preserve"> flat and had found it occupied by a named individual, J.H. He</w:t>
      </w:r>
      <w:r w:rsidR="00A8513B" w:rsidRPr="00EA6803">
        <w:t xml:space="preserve"> showed a</w:t>
      </w:r>
      <w:r w:rsidR="001E085E" w:rsidRPr="00EA6803">
        <w:t xml:space="preserve"> contract for the sale of the flat, </w:t>
      </w:r>
      <w:r w:rsidR="00D42659" w:rsidRPr="00EA6803">
        <w:t xml:space="preserve">signed by </w:t>
      </w:r>
      <w:proofErr w:type="spellStart"/>
      <w:r w:rsidR="00D42659" w:rsidRPr="00EA6803">
        <w:t>Mrs</w:t>
      </w:r>
      <w:proofErr w:type="spellEnd"/>
      <w:r w:rsidR="00D42659" w:rsidRPr="00EA6803">
        <w:t xml:space="preserve"> Vera </w:t>
      </w:r>
      <w:proofErr w:type="spellStart"/>
      <w:r w:rsidR="00D42659" w:rsidRPr="00EA6803">
        <w:t>Škripac’s</w:t>
      </w:r>
      <w:proofErr w:type="spellEnd"/>
      <w:r w:rsidR="00D42659" w:rsidRPr="00EA6803">
        <w:t xml:space="preserve"> son, the complainant. </w:t>
      </w:r>
      <w:r w:rsidR="001E085E" w:rsidRPr="00EA6803">
        <w:t>He</w:t>
      </w:r>
      <w:r w:rsidR="00E16F11" w:rsidRPr="00EA6803">
        <w:t xml:space="preserve"> informed</w:t>
      </w:r>
      <w:r w:rsidR="00FD32E8" w:rsidRPr="00EA6803">
        <w:t xml:space="preserve"> the investigators </w:t>
      </w:r>
      <w:r w:rsidR="00E16F11" w:rsidRPr="00EA6803">
        <w:t>that he</w:t>
      </w:r>
      <w:r w:rsidR="001E085E" w:rsidRPr="00EA6803">
        <w:t xml:space="preserve"> did not know anything about </w:t>
      </w:r>
      <w:proofErr w:type="spellStart"/>
      <w:r w:rsidR="001E085E" w:rsidRPr="00EA6803">
        <w:t>Mrs</w:t>
      </w:r>
      <w:proofErr w:type="spellEnd"/>
      <w:r w:rsidR="001E085E" w:rsidRPr="00EA6803">
        <w:t xml:space="preserve"> Vera </w:t>
      </w:r>
      <w:proofErr w:type="spellStart"/>
      <w:r w:rsidR="001E085E" w:rsidRPr="00EA6803">
        <w:t>Škripac’s</w:t>
      </w:r>
      <w:proofErr w:type="spellEnd"/>
      <w:r w:rsidR="001E085E" w:rsidRPr="00EA6803">
        <w:t xml:space="preserve"> abduction and disappearance</w:t>
      </w:r>
      <w:r w:rsidR="00E16F11" w:rsidRPr="00EA6803">
        <w:t>;</w:t>
      </w:r>
      <w:r w:rsidR="001E085E" w:rsidRPr="00EA6803">
        <w:t xml:space="preserve"> neither</w:t>
      </w:r>
      <w:r w:rsidR="00E16F11" w:rsidRPr="00EA6803">
        <w:t xml:space="preserve"> did </w:t>
      </w:r>
      <w:r w:rsidR="001E085E" w:rsidRPr="00EA6803">
        <w:t xml:space="preserve">other </w:t>
      </w:r>
      <w:proofErr w:type="spellStart"/>
      <w:r w:rsidR="001E085E" w:rsidRPr="00EA6803">
        <w:t>neighbours</w:t>
      </w:r>
      <w:proofErr w:type="spellEnd"/>
      <w:r w:rsidR="001E085E" w:rsidRPr="00EA6803">
        <w:t xml:space="preserve"> in the b</w:t>
      </w:r>
      <w:r w:rsidR="00E16F11" w:rsidRPr="00EA6803">
        <w:t>uilding</w:t>
      </w:r>
      <w:r w:rsidR="00FD32E8" w:rsidRPr="00EA6803">
        <w:t xml:space="preserve"> who were questioned</w:t>
      </w:r>
      <w:r w:rsidR="00E16F11" w:rsidRPr="00EA6803">
        <w:t>. UNMIK investigators</w:t>
      </w:r>
      <w:r w:rsidR="001E085E" w:rsidRPr="00EA6803">
        <w:t xml:space="preserve"> </w:t>
      </w:r>
      <w:r w:rsidR="00A8513B" w:rsidRPr="00EA6803">
        <w:t>then</w:t>
      </w:r>
      <w:r w:rsidR="00E16F11" w:rsidRPr="00EA6803">
        <w:t xml:space="preserve"> contacted</w:t>
      </w:r>
      <w:r w:rsidR="001E085E" w:rsidRPr="00EA6803">
        <w:t xml:space="preserve"> the complainant</w:t>
      </w:r>
      <w:r w:rsidR="00E16F11" w:rsidRPr="00EA6803">
        <w:t xml:space="preserve"> by telephone, who</w:t>
      </w:r>
      <w:r w:rsidR="001E085E" w:rsidRPr="00EA6803">
        <w:t xml:space="preserve"> confirmed the sale of the flat to J.H.  </w:t>
      </w:r>
    </w:p>
    <w:p w:rsidR="001E085E" w:rsidRPr="00EA6803" w:rsidRDefault="001E085E" w:rsidP="001E085E">
      <w:pPr>
        <w:pStyle w:val="ListParagraph"/>
        <w:rPr>
          <w:lang w:val="en-GB" w:eastAsia="en-GB"/>
        </w:rPr>
      </w:pPr>
    </w:p>
    <w:p w:rsidR="001E085E" w:rsidRPr="00EA6803" w:rsidRDefault="001E085E" w:rsidP="004A1525">
      <w:pPr>
        <w:pStyle w:val="ListParagraph"/>
        <w:widowControl w:val="0"/>
        <w:numPr>
          <w:ilvl w:val="0"/>
          <w:numId w:val="2"/>
        </w:numPr>
        <w:tabs>
          <w:tab w:val="left" w:pos="360"/>
          <w:tab w:val="left" w:pos="1080"/>
        </w:tabs>
        <w:contextualSpacing/>
        <w:jc w:val="both"/>
        <w:rPr>
          <w:lang w:val="en-GB" w:eastAsia="en-GB"/>
        </w:rPr>
      </w:pPr>
      <w:r w:rsidRPr="00EA6803">
        <w:rPr>
          <w:lang w:val="en-GB" w:eastAsia="en-GB"/>
        </w:rPr>
        <w:t xml:space="preserve">The Conclusion Report states that, on 21 September 1999, UNMIK Police also interviewed Mr B.K., the lawyer of </w:t>
      </w:r>
      <w:proofErr w:type="spellStart"/>
      <w:r w:rsidRPr="00EA6803">
        <w:t>Mrs</w:t>
      </w:r>
      <w:proofErr w:type="spellEnd"/>
      <w:r w:rsidRPr="00EA6803">
        <w:t xml:space="preserve"> Vera </w:t>
      </w:r>
      <w:proofErr w:type="spellStart"/>
      <w:r w:rsidRPr="00EA6803">
        <w:t>Škripac</w:t>
      </w:r>
      <w:proofErr w:type="spellEnd"/>
      <w:r w:rsidRPr="00EA6803">
        <w:t>. A witness statement</w:t>
      </w:r>
      <w:r w:rsidR="00C610BB" w:rsidRPr="00EA6803">
        <w:t xml:space="preserve"> by Mr B.K. is attached to the R</w:t>
      </w:r>
      <w:r w:rsidRPr="00EA6803">
        <w:t xml:space="preserve">eport. </w:t>
      </w:r>
      <w:r w:rsidRPr="00EA6803">
        <w:rPr>
          <w:lang w:val="en-GB" w:eastAsia="en-GB"/>
        </w:rPr>
        <w:t xml:space="preserve">According to this statement, in the evening of 11 September 1999, Mrs </w:t>
      </w:r>
      <w:r w:rsidRPr="00EA6803">
        <w:t xml:space="preserve">Vera </w:t>
      </w:r>
      <w:proofErr w:type="spellStart"/>
      <w:r w:rsidRPr="00EA6803">
        <w:t>Škripac</w:t>
      </w:r>
      <w:proofErr w:type="spellEnd"/>
      <w:r w:rsidRPr="00EA6803">
        <w:t xml:space="preserve"> had </w:t>
      </w:r>
      <w:r w:rsidR="00C610BB" w:rsidRPr="00EA6803">
        <w:t xml:space="preserve">asked </w:t>
      </w:r>
      <w:proofErr w:type="spellStart"/>
      <w:r w:rsidR="00C610BB" w:rsidRPr="00EA6803">
        <w:t>Mr</w:t>
      </w:r>
      <w:proofErr w:type="spellEnd"/>
      <w:r w:rsidR="00C610BB" w:rsidRPr="00EA6803">
        <w:t xml:space="preserve"> B.K. to go to her flat</w:t>
      </w:r>
      <w:r w:rsidR="00E16F11" w:rsidRPr="00EA6803">
        <w:t xml:space="preserve"> in order to sign a</w:t>
      </w:r>
      <w:r w:rsidR="00C610BB" w:rsidRPr="00EA6803">
        <w:t xml:space="preserve"> contract for the</w:t>
      </w:r>
      <w:r w:rsidR="00E16F11" w:rsidRPr="00EA6803">
        <w:t xml:space="preserve"> sale of the</w:t>
      </w:r>
      <w:r w:rsidR="00C610BB" w:rsidRPr="00EA6803">
        <w:t xml:space="preserve"> flat and </w:t>
      </w:r>
      <w:r w:rsidRPr="00EA6803">
        <w:t xml:space="preserve">because she was afraid to be there alone. While they were together in </w:t>
      </w:r>
      <w:r w:rsidRPr="00EA6803">
        <w:rPr>
          <w:lang w:val="en-GB" w:eastAsia="en-GB"/>
        </w:rPr>
        <w:t xml:space="preserve">Mrs </w:t>
      </w:r>
      <w:r w:rsidR="00E16F11" w:rsidRPr="00EA6803">
        <w:t xml:space="preserve">Vera </w:t>
      </w:r>
      <w:proofErr w:type="spellStart"/>
      <w:r w:rsidR="00E16F11" w:rsidRPr="00EA6803">
        <w:t>Škripac’s</w:t>
      </w:r>
      <w:proofErr w:type="spellEnd"/>
      <w:r w:rsidR="00E16F11" w:rsidRPr="00EA6803">
        <w:t xml:space="preserve"> flat, </w:t>
      </w:r>
      <w:r w:rsidRPr="00EA6803">
        <w:t>KFOR</w:t>
      </w:r>
      <w:r w:rsidR="00E16F11" w:rsidRPr="00EA6803">
        <w:t xml:space="preserve"> soldiers</w:t>
      </w:r>
      <w:r w:rsidRPr="00EA6803">
        <w:t>, who had been called several times “for an intervention”, arrived. Because they were not provided with a language assistant and</w:t>
      </w:r>
      <w:r w:rsidR="00C610BB" w:rsidRPr="00EA6803">
        <w:t xml:space="preserve"> neither </w:t>
      </w:r>
      <w:proofErr w:type="spellStart"/>
      <w:r w:rsidR="00C610BB" w:rsidRPr="00EA6803">
        <w:t>Mrs</w:t>
      </w:r>
      <w:proofErr w:type="spellEnd"/>
      <w:r w:rsidR="00C610BB" w:rsidRPr="00EA6803">
        <w:t xml:space="preserve"> Vera </w:t>
      </w:r>
      <w:proofErr w:type="spellStart"/>
      <w:r w:rsidR="00C610BB" w:rsidRPr="00EA6803">
        <w:t>Škripac</w:t>
      </w:r>
      <w:proofErr w:type="spellEnd"/>
      <w:r w:rsidR="00C610BB" w:rsidRPr="00EA6803">
        <w:t xml:space="preserve"> nor</w:t>
      </w:r>
      <w:r w:rsidRPr="00EA6803">
        <w:t xml:space="preserve"> Mr B.K. </w:t>
      </w:r>
      <w:r w:rsidR="00C610BB" w:rsidRPr="00EA6803">
        <w:t>spoke</w:t>
      </w:r>
      <w:r w:rsidRPr="00EA6803">
        <w:t xml:space="preserve"> English, the KFOR</w:t>
      </w:r>
      <w:r w:rsidR="00E16F11" w:rsidRPr="00EA6803">
        <w:t xml:space="preserve"> soldiers</w:t>
      </w:r>
      <w:r w:rsidRPr="00EA6803">
        <w:t xml:space="preserve"> had left the flat. At about 21:00, between seven and t</w:t>
      </w:r>
      <w:r w:rsidR="00E16F11" w:rsidRPr="00EA6803">
        <w:t xml:space="preserve">en persons forced their way </w:t>
      </w:r>
      <w:r w:rsidRPr="00EA6803">
        <w:t>in</w:t>
      </w:r>
      <w:r w:rsidR="00E16F11" w:rsidRPr="00EA6803">
        <w:t>to</w:t>
      </w:r>
      <w:r w:rsidRPr="00EA6803">
        <w:t xml:space="preserve"> </w:t>
      </w:r>
      <w:r w:rsidRPr="00EA6803">
        <w:rPr>
          <w:lang w:val="en-GB" w:eastAsia="en-GB"/>
        </w:rPr>
        <w:t xml:space="preserve">Mrs </w:t>
      </w:r>
      <w:r w:rsidRPr="00EA6803">
        <w:t xml:space="preserve">Vera </w:t>
      </w:r>
      <w:proofErr w:type="spellStart"/>
      <w:r w:rsidRPr="00EA6803">
        <w:t>Škripac’s</w:t>
      </w:r>
      <w:proofErr w:type="spellEnd"/>
      <w:r w:rsidRPr="00EA6803">
        <w:t xml:space="preserve"> flat. They asked </w:t>
      </w:r>
      <w:r w:rsidR="00E16F11" w:rsidRPr="00EA6803">
        <w:rPr>
          <w:lang w:val="en-GB" w:eastAsia="en-GB"/>
        </w:rPr>
        <w:t>her why</w:t>
      </w:r>
      <w:r w:rsidRPr="00EA6803">
        <w:t xml:space="preserve"> she</w:t>
      </w:r>
      <w:r w:rsidR="00E16F11" w:rsidRPr="00EA6803">
        <w:t xml:space="preserve"> was still there</w:t>
      </w:r>
      <w:r w:rsidRPr="00EA6803">
        <w:t xml:space="preserve"> and, as Mr B.K. was trying to keep them out, six people hit him and took him </w:t>
      </w:r>
      <w:r w:rsidR="00FD32E8" w:rsidRPr="00EA6803">
        <w:t>a</w:t>
      </w:r>
      <w:r w:rsidRPr="00EA6803">
        <w:t xml:space="preserve">way in </w:t>
      </w:r>
      <w:r w:rsidR="00C610BB" w:rsidRPr="00EA6803">
        <w:t xml:space="preserve">big black Audi </w:t>
      </w:r>
      <w:r w:rsidRPr="00EA6803">
        <w:t xml:space="preserve">vehicle. He was </w:t>
      </w:r>
      <w:r w:rsidR="00FD32E8" w:rsidRPr="00EA6803">
        <w:t xml:space="preserve">taken </w:t>
      </w:r>
      <w:r w:rsidRPr="00EA6803">
        <w:t xml:space="preserve">to an open field in the outskirts of Prishtinë/Priština, </w:t>
      </w:r>
      <w:r w:rsidR="00E16F11" w:rsidRPr="00EA6803">
        <w:t xml:space="preserve">where </w:t>
      </w:r>
      <w:r w:rsidRPr="00EA6803">
        <w:t xml:space="preserve">he was threatened and mistreated for five hours and then released. </w:t>
      </w:r>
      <w:r w:rsidR="00E16F11" w:rsidRPr="00EA6803">
        <w:t>H</w:t>
      </w:r>
      <w:r w:rsidR="00FD32E8" w:rsidRPr="00EA6803">
        <w:t>is information was</w:t>
      </w:r>
      <w:r w:rsidR="00F80931">
        <w:t xml:space="preserve"> </w:t>
      </w:r>
      <w:r w:rsidR="00E16F11" w:rsidRPr="00EA6803">
        <w:t>that his kidnappers were 25-30 years old and were</w:t>
      </w:r>
      <w:r w:rsidRPr="00EA6803">
        <w:t xml:space="preserve"> wearing black</w:t>
      </w:r>
      <w:r w:rsidR="00E16F11" w:rsidRPr="00EA6803">
        <w:t xml:space="preserve"> trousers and jackets; however he </w:t>
      </w:r>
      <w:r w:rsidRPr="00EA6803">
        <w:t xml:space="preserve">was not able to identify them. He had no information as to what happened to </w:t>
      </w:r>
      <w:proofErr w:type="spellStart"/>
      <w:r w:rsidRPr="00EA6803">
        <w:t>Mrs</w:t>
      </w:r>
      <w:proofErr w:type="spellEnd"/>
      <w:r w:rsidRPr="00EA6803">
        <w:t xml:space="preserve"> Vera </w:t>
      </w:r>
      <w:proofErr w:type="spellStart"/>
      <w:r w:rsidRPr="00EA6803">
        <w:t>Škripac</w:t>
      </w:r>
      <w:proofErr w:type="spellEnd"/>
      <w:r w:rsidRPr="00EA6803">
        <w:t>, who</w:t>
      </w:r>
      <w:r w:rsidR="00C610BB" w:rsidRPr="00EA6803">
        <w:t>, according to this statement,</w:t>
      </w:r>
      <w:r w:rsidRPr="00EA6803">
        <w:t xml:space="preserve"> was still in her flat while he was being taken away. </w:t>
      </w:r>
    </w:p>
    <w:p w:rsidR="00890417" w:rsidRPr="00EA6803" w:rsidRDefault="00890417" w:rsidP="00890417">
      <w:pPr>
        <w:pStyle w:val="ListParagraph"/>
        <w:widowControl w:val="0"/>
        <w:tabs>
          <w:tab w:val="left" w:pos="1080"/>
        </w:tabs>
        <w:ind w:left="360"/>
        <w:contextualSpacing/>
        <w:jc w:val="both"/>
        <w:rPr>
          <w:lang w:val="en-GB" w:eastAsia="en-GB"/>
        </w:rPr>
      </w:pPr>
    </w:p>
    <w:p w:rsidR="001E085E" w:rsidRPr="00EA6803" w:rsidRDefault="00F72159" w:rsidP="001631A3">
      <w:pPr>
        <w:pStyle w:val="ListParagraph"/>
        <w:widowControl w:val="0"/>
        <w:numPr>
          <w:ilvl w:val="0"/>
          <w:numId w:val="2"/>
        </w:numPr>
        <w:tabs>
          <w:tab w:val="left" w:pos="360"/>
          <w:tab w:val="left" w:pos="1080"/>
        </w:tabs>
        <w:contextualSpacing/>
        <w:jc w:val="both"/>
        <w:rPr>
          <w:lang w:val="en-GB" w:eastAsia="en-GB"/>
        </w:rPr>
      </w:pPr>
      <w:r w:rsidRPr="00EA6803">
        <w:rPr>
          <w:lang w:val="en-GB" w:eastAsia="en-GB"/>
        </w:rPr>
        <w:t>The</w:t>
      </w:r>
      <w:r w:rsidR="00890417" w:rsidRPr="00EA6803">
        <w:rPr>
          <w:lang w:val="en-GB" w:eastAsia="en-GB"/>
        </w:rPr>
        <w:t xml:space="preserve"> Conclusion</w:t>
      </w:r>
      <w:r w:rsidRPr="00EA6803">
        <w:rPr>
          <w:lang w:val="en-GB" w:eastAsia="en-GB"/>
        </w:rPr>
        <w:t xml:space="preserve"> Report also states that</w:t>
      </w:r>
      <w:r w:rsidR="00890417" w:rsidRPr="00EA6803">
        <w:rPr>
          <w:lang w:val="en-GB" w:eastAsia="en-GB"/>
        </w:rPr>
        <w:t xml:space="preserve"> on 23 September 1999 the body of a female</w:t>
      </w:r>
      <w:r w:rsidR="00EA6803" w:rsidRPr="00EA6803">
        <w:rPr>
          <w:lang w:val="en-GB" w:eastAsia="en-GB"/>
        </w:rPr>
        <w:t xml:space="preserve"> individual had been discovered</w:t>
      </w:r>
      <w:r w:rsidR="00FD32E8" w:rsidRPr="00EA6803">
        <w:rPr>
          <w:lang w:val="en-GB" w:eastAsia="en-GB"/>
        </w:rPr>
        <w:t xml:space="preserve"> </w:t>
      </w:r>
      <w:r w:rsidR="00890417" w:rsidRPr="00EA6803">
        <w:rPr>
          <w:lang w:val="en-GB" w:eastAsia="en-GB"/>
        </w:rPr>
        <w:t xml:space="preserve">in a neighbourhood of </w:t>
      </w:r>
      <w:proofErr w:type="spellStart"/>
      <w:r w:rsidR="00890417" w:rsidRPr="00EA6803">
        <w:rPr>
          <w:lang w:val="en-GB" w:eastAsia="en-GB"/>
        </w:rPr>
        <w:t>Prishtinë</w:t>
      </w:r>
      <w:proofErr w:type="spellEnd"/>
      <w:r w:rsidR="00890417" w:rsidRPr="00EA6803">
        <w:rPr>
          <w:lang w:val="en-GB" w:eastAsia="en-GB"/>
        </w:rPr>
        <w:t>/</w:t>
      </w:r>
      <w:proofErr w:type="spellStart"/>
      <w:r w:rsidR="00890417" w:rsidRPr="00EA6803">
        <w:rPr>
          <w:lang w:val="en-GB" w:eastAsia="en-GB"/>
        </w:rPr>
        <w:t>Priština</w:t>
      </w:r>
      <w:proofErr w:type="spellEnd"/>
      <w:r w:rsidR="00890417" w:rsidRPr="00EA6803">
        <w:rPr>
          <w:lang w:val="en-GB" w:eastAsia="en-GB"/>
        </w:rPr>
        <w:t xml:space="preserve">, suspected to be </w:t>
      </w:r>
      <w:r w:rsidR="00FD32E8" w:rsidRPr="00EA6803">
        <w:rPr>
          <w:lang w:val="en-GB" w:eastAsia="en-GB"/>
        </w:rPr>
        <w:t xml:space="preserve">that </w:t>
      </w:r>
      <w:r w:rsidR="00E60ACB" w:rsidRPr="00EA6803">
        <w:rPr>
          <w:lang w:val="en-GB" w:eastAsia="en-GB"/>
        </w:rPr>
        <w:t xml:space="preserve">of </w:t>
      </w:r>
      <w:proofErr w:type="spellStart"/>
      <w:r w:rsidR="00890417" w:rsidRPr="00EA6803">
        <w:t>Mrs</w:t>
      </w:r>
      <w:proofErr w:type="spellEnd"/>
      <w:r w:rsidR="00890417" w:rsidRPr="00EA6803">
        <w:t xml:space="preserve"> Vera </w:t>
      </w:r>
      <w:proofErr w:type="spellStart"/>
      <w:r w:rsidR="00890417" w:rsidRPr="00EA6803">
        <w:t>Škripac</w:t>
      </w:r>
      <w:proofErr w:type="spellEnd"/>
      <w:r w:rsidR="00890417" w:rsidRPr="00EA6803">
        <w:t xml:space="preserve">. The body had been shown to Mr B.K. as well as to J.S., but the identification was negative. In its conclusion, the Report states that, according to the statements of </w:t>
      </w:r>
      <w:r w:rsidR="00E60ACB" w:rsidRPr="00EA6803">
        <w:t>Mr</w:t>
      </w:r>
      <w:r w:rsidR="00E16F11" w:rsidRPr="00EA6803">
        <w:t xml:space="preserve"> B.K. and </w:t>
      </w:r>
      <w:proofErr w:type="spellStart"/>
      <w:r w:rsidR="00E60ACB" w:rsidRPr="00EA6803">
        <w:t>Ms</w:t>
      </w:r>
      <w:proofErr w:type="spellEnd"/>
      <w:r w:rsidR="00E60ACB" w:rsidRPr="00EA6803">
        <w:t xml:space="preserve"> </w:t>
      </w:r>
      <w:r w:rsidR="00E16F11" w:rsidRPr="00EA6803">
        <w:t>J.S., the KLA had been</w:t>
      </w:r>
      <w:r w:rsidR="00890417" w:rsidRPr="00EA6803">
        <w:t xml:space="preserve"> involved in the abduction and disappearance of </w:t>
      </w:r>
      <w:proofErr w:type="spellStart"/>
      <w:r w:rsidR="00890417" w:rsidRPr="00EA6803">
        <w:t>Mrs</w:t>
      </w:r>
      <w:proofErr w:type="spellEnd"/>
      <w:r w:rsidR="00890417" w:rsidRPr="00EA6803">
        <w:t xml:space="preserve"> Vera </w:t>
      </w:r>
      <w:proofErr w:type="spellStart"/>
      <w:r w:rsidR="00890417" w:rsidRPr="00EA6803">
        <w:t>Škripac</w:t>
      </w:r>
      <w:proofErr w:type="spellEnd"/>
      <w:r w:rsidR="00890417" w:rsidRPr="00EA6803">
        <w:t>; however there was no evidence to confirm this allegati</w:t>
      </w:r>
      <w:r w:rsidR="00E60ACB" w:rsidRPr="00EA6803">
        <w:t>on. Therefore the case was</w:t>
      </w:r>
      <w:r w:rsidR="00890417" w:rsidRPr="00EA6803">
        <w:t xml:space="preserve"> closed by the Prishtinë/Priština Regional Investigation Unit. An Interoffice Memorandum</w:t>
      </w:r>
      <w:r w:rsidR="00FD32E8" w:rsidRPr="00EA6803">
        <w:t>,</w:t>
      </w:r>
      <w:r w:rsidR="00890417" w:rsidRPr="00EA6803">
        <w:t xml:space="preserve"> dated 25 September 1999, also included in the OMPF file</w:t>
      </w:r>
      <w:r w:rsidR="00E60ACB" w:rsidRPr="00EA6803">
        <w:t>, states that the case was then</w:t>
      </w:r>
      <w:r w:rsidR="00890417" w:rsidRPr="00EA6803">
        <w:t xml:space="preserve"> forwarded to the ICRC and UNHCR “to notify them about the incident and the investigation result”.  </w:t>
      </w:r>
    </w:p>
    <w:p w:rsidR="00890417" w:rsidRPr="00EA6803" w:rsidRDefault="00890417" w:rsidP="00EB3E70">
      <w:pPr>
        <w:widowControl w:val="0"/>
        <w:tabs>
          <w:tab w:val="left" w:pos="360"/>
          <w:tab w:val="left" w:pos="1080"/>
        </w:tabs>
        <w:contextualSpacing/>
        <w:jc w:val="both"/>
        <w:rPr>
          <w:lang w:val="en-GB" w:eastAsia="en-GB"/>
        </w:rPr>
      </w:pPr>
    </w:p>
    <w:p w:rsidR="003C2FE0" w:rsidRPr="00EA6803" w:rsidRDefault="00E16F11" w:rsidP="00890417">
      <w:pPr>
        <w:pStyle w:val="ListParagraph"/>
        <w:widowControl w:val="0"/>
        <w:numPr>
          <w:ilvl w:val="0"/>
          <w:numId w:val="2"/>
        </w:numPr>
        <w:tabs>
          <w:tab w:val="left" w:pos="360"/>
          <w:tab w:val="left" w:pos="1080"/>
        </w:tabs>
        <w:contextualSpacing/>
        <w:jc w:val="both"/>
        <w:rPr>
          <w:lang w:val="en-GB" w:eastAsia="en-GB"/>
        </w:rPr>
      </w:pPr>
      <w:r w:rsidRPr="00EA6803">
        <w:rPr>
          <w:lang w:val="en-GB" w:eastAsia="en-GB"/>
        </w:rPr>
        <w:t>Also i</w:t>
      </w:r>
      <w:r w:rsidR="00F72159" w:rsidRPr="00EA6803">
        <w:rPr>
          <w:lang w:val="en-GB" w:eastAsia="en-GB"/>
        </w:rPr>
        <w:t>nclu</w:t>
      </w:r>
      <w:r w:rsidRPr="00EA6803">
        <w:rPr>
          <w:lang w:val="en-GB" w:eastAsia="en-GB"/>
        </w:rPr>
        <w:t>ded in this part of the file is</w:t>
      </w:r>
      <w:r w:rsidR="00C610BB" w:rsidRPr="00EA6803">
        <w:rPr>
          <w:lang w:val="en-GB" w:eastAsia="en-GB"/>
        </w:rPr>
        <w:t xml:space="preserve"> </w:t>
      </w:r>
      <w:r w:rsidR="009D33DB" w:rsidRPr="00EA6803">
        <w:rPr>
          <w:lang w:val="en-GB" w:eastAsia="en-GB"/>
        </w:rPr>
        <w:t xml:space="preserve">the printout of an </w:t>
      </w:r>
      <w:r w:rsidR="00E60ACB" w:rsidRPr="00EA6803">
        <w:rPr>
          <w:lang w:val="en-GB" w:eastAsia="en-GB"/>
        </w:rPr>
        <w:t>“</w:t>
      </w:r>
      <w:r w:rsidR="009D33DB" w:rsidRPr="00EA6803">
        <w:rPr>
          <w:lang w:val="en-GB" w:eastAsia="en-GB"/>
        </w:rPr>
        <w:t>Intel Message</w:t>
      </w:r>
      <w:r w:rsidR="00E60ACB" w:rsidRPr="00EA6803">
        <w:rPr>
          <w:lang w:val="en-GB" w:eastAsia="en-GB"/>
        </w:rPr>
        <w:t>”</w:t>
      </w:r>
      <w:r w:rsidR="00FD32E8" w:rsidRPr="00EA6803">
        <w:rPr>
          <w:lang w:val="en-GB" w:eastAsia="en-GB"/>
        </w:rPr>
        <w:t>,</w:t>
      </w:r>
      <w:r w:rsidR="009D33DB" w:rsidRPr="00EA6803">
        <w:rPr>
          <w:lang w:val="en-GB" w:eastAsia="en-GB"/>
        </w:rPr>
        <w:t xml:space="preserve"> generated on 28 March 2000, concerning the case of </w:t>
      </w:r>
      <w:proofErr w:type="spellStart"/>
      <w:r w:rsidR="009D33DB" w:rsidRPr="00EA6803">
        <w:t>Mrs</w:t>
      </w:r>
      <w:proofErr w:type="spellEnd"/>
      <w:r w:rsidR="009D33DB" w:rsidRPr="00EA6803">
        <w:t xml:space="preserve"> Vera </w:t>
      </w:r>
      <w:proofErr w:type="spellStart"/>
      <w:r w:rsidR="009D33DB" w:rsidRPr="00EA6803">
        <w:t>Škripac</w:t>
      </w:r>
      <w:proofErr w:type="spellEnd"/>
      <w:r w:rsidR="009D33DB" w:rsidRPr="00EA6803">
        <w:t xml:space="preserve">, </w:t>
      </w:r>
      <w:r w:rsidR="00C610BB" w:rsidRPr="00EA6803">
        <w:t xml:space="preserve">affixed with </w:t>
      </w:r>
      <w:r w:rsidR="009D33DB" w:rsidRPr="00EA6803">
        <w:t>MPU case file no. 1999-</w:t>
      </w:r>
      <w:proofErr w:type="gramStart"/>
      <w:r w:rsidR="009D33DB" w:rsidRPr="00EA6803">
        <w:t>00058.</w:t>
      </w:r>
      <w:proofErr w:type="gramEnd"/>
      <w:r w:rsidR="009D33DB" w:rsidRPr="00EA6803">
        <w:t xml:space="preserve"> The document states that on 11 September 1999, </w:t>
      </w:r>
      <w:proofErr w:type="spellStart"/>
      <w:r w:rsidR="009D33DB" w:rsidRPr="00EA6803">
        <w:t>Mrs</w:t>
      </w:r>
      <w:proofErr w:type="spellEnd"/>
      <w:r w:rsidR="009D33DB" w:rsidRPr="00EA6803">
        <w:t xml:space="preserve"> Vera </w:t>
      </w:r>
      <w:proofErr w:type="spellStart"/>
      <w:r w:rsidR="009D33DB" w:rsidRPr="00EA6803">
        <w:t>Škripac</w:t>
      </w:r>
      <w:proofErr w:type="spellEnd"/>
      <w:r w:rsidR="009D33DB" w:rsidRPr="00EA6803">
        <w:t xml:space="preserve"> had arranged to sell her flat to</w:t>
      </w:r>
      <w:r w:rsidR="006A40F2" w:rsidRPr="00EA6803">
        <w:t xml:space="preserve"> Mr</w:t>
      </w:r>
      <w:r w:rsidR="009D33DB" w:rsidRPr="00EA6803">
        <w:t xml:space="preserve"> B.K. (full name, age, home address and telephone number provided), who </w:t>
      </w:r>
      <w:r w:rsidR="006A40F2" w:rsidRPr="00EA6803">
        <w:t xml:space="preserve">was </w:t>
      </w:r>
      <w:r w:rsidR="007127B5" w:rsidRPr="00EA6803">
        <w:t xml:space="preserve">expected </w:t>
      </w:r>
      <w:r w:rsidR="006A40F2" w:rsidRPr="00EA6803">
        <w:t>to make a partial payment</w:t>
      </w:r>
      <w:r w:rsidR="009D33DB" w:rsidRPr="00EA6803">
        <w:t xml:space="preserve"> that</w:t>
      </w:r>
      <w:r w:rsidR="006A40F2" w:rsidRPr="00EA6803">
        <w:t xml:space="preserve"> very</w:t>
      </w:r>
      <w:r w:rsidR="009D33DB" w:rsidRPr="00EA6803">
        <w:t xml:space="preserve"> </w:t>
      </w:r>
      <w:r w:rsidR="006A40F2" w:rsidRPr="00EA6803">
        <w:t xml:space="preserve">night. At 22:00, Mr B.K. was in </w:t>
      </w:r>
      <w:proofErr w:type="spellStart"/>
      <w:r w:rsidR="006A40F2" w:rsidRPr="00EA6803">
        <w:t>Mrs</w:t>
      </w:r>
      <w:proofErr w:type="spellEnd"/>
      <w:r w:rsidR="006A40F2" w:rsidRPr="00EA6803">
        <w:t xml:space="preserve"> Vera </w:t>
      </w:r>
      <w:proofErr w:type="spellStart"/>
      <w:r w:rsidR="006A40F2" w:rsidRPr="00EA6803">
        <w:t>Škripac’s</w:t>
      </w:r>
      <w:proofErr w:type="spellEnd"/>
      <w:r w:rsidR="006A40F2" w:rsidRPr="00EA6803">
        <w:t xml:space="preserve"> flat and from there he spoke on the phone to the complainant, </w:t>
      </w:r>
      <w:proofErr w:type="spellStart"/>
      <w:r w:rsidR="006A40F2" w:rsidRPr="00EA6803">
        <w:t>Mr</w:t>
      </w:r>
      <w:proofErr w:type="spellEnd"/>
      <w:r w:rsidR="006A40F2" w:rsidRPr="00EA6803">
        <w:t xml:space="preserve"> Slobodan </w:t>
      </w:r>
      <w:proofErr w:type="spellStart"/>
      <w:r w:rsidR="006A40F2" w:rsidRPr="00EA6803">
        <w:t>Škripac</w:t>
      </w:r>
      <w:proofErr w:type="spellEnd"/>
      <w:r w:rsidR="006A40F2" w:rsidRPr="00EA6803">
        <w:t xml:space="preserve">. During this conversation, Mr B.K. said that there were some problems; however, as he was explaining </w:t>
      </w:r>
      <w:r w:rsidR="007127B5" w:rsidRPr="00EA6803">
        <w:t xml:space="preserve">the </w:t>
      </w:r>
      <w:r w:rsidR="006A40F2" w:rsidRPr="00EA6803">
        <w:t xml:space="preserve">kind of problems, the conversation </w:t>
      </w:r>
      <w:r w:rsidR="007127B5" w:rsidRPr="00EA6803">
        <w:t>was</w:t>
      </w:r>
      <w:r w:rsidR="006A40F2" w:rsidRPr="00EA6803">
        <w:t xml:space="preserve"> cut off. </w:t>
      </w:r>
      <w:r w:rsidR="00C610BB" w:rsidRPr="00EA6803">
        <w:t xml:space="preserve">The source of this information is not stated in the Intel Message. </w:t>
      </w:r>
    </w:p>
    <w:p w:rsidR="00922CB9" w:rsidRPr="00922CB9" w:rsidRDefault="00922CB9" w:rsidP="00922CB9">
      <w:pPr>
        <w:pStyle w:val="ListParagraph"/>
        <w:widowControl w:val="0"/>
        <w:tabs>
          <w:tab w:val="left" w:pos="1080"/>
        </w:tabs>
        <w:ind w:left="360"/>
        <w:contextualSpacing/>
        <w:jc w:val="both"/>
        <w:rPr>
          <w:highlight w:val="yellow"/>
          <w:lang w:val="en-GB" w:eastAsia="en-GB"/>
        </w:rPr>
      </w:pPr>
    </w:p>
    <w:p w:rsidR="009D33DB" w:rsidRPr="0050107D" w:rsidRDefault="00922CB9" w:rsidP="006508E1">
      <w:pPr>
        <w:pStyle w:val="ListParagraph"/>
        <w:widowControl w:val="0"/>
        <w:numPr>
          <w:ilvl w:val="0"/>
          <w:numId w:val="2"/>
        </w:numPr>
        <w:tabs>
          <w:tab w:val="left" w:pos="360"/>
          <w:tab w:val="left" w:pos="1080"/>
        </w:tabs>
        <w:contextualSpacing/>
        <w:jc w:val="both"/>
        <w:rPr>
          <w:lang w:val="en-GB" w:eastAsia="en-GB"/>
        </w:rPr>
      </w:pPr>
      <w:r w:rsidRPr="00EA6803">
        <w:t>The same Intel Message states that on the following day, on 12</w:t>
      </w:r>
      <w:r w:rsidR="006A40F2" w:rsidRPr="00EA6803">
        <w:t xml:space="preserve"> September 1999, a KFOR patrol had gone to </w:t>
      </w:r>
      <w:proofErr w:type="spellStart"/>
      <w:r w:rsidR="006A40F2" w:rsidRPr="00EA6803">
        <w:t>Mrs</w:t>
      </w:r>
      <w:proofErr w:type="spellEnd"/>
      <w:r w:rsidR="006A40F2" w:rsidRPr="00EA6803">
        <w:t xml:space="preserve"> Vera </w:t>
      </w:r>
      <w:proofErr w:type="spellStart"/>
      <w:r w:rsidR="006A40F2" w:rsidRPr="00EA6803">
        <w:t>Škripac’s</w:t>
      </w:r>
      <w:proofErr w:type="spellEnd"/>
      <w:r w:rsidR="006A40F2" w:rsidRPr="00EA6803">
        <w:t xml:space="preserve"> </w:t>
      </w:r>
      <w:r w:rsidR="007127B5" w:rsidRPr="00EA6803">
        <w:t xml:space="preserve">flat </w:t>
      </w:r>
      <w:r w:rsidR="006A40F2" w:rsidRPr="00EA6803">
        <w:t xml:space="preserve">finding it damaged and looted. The KFOR </w:t>
      </w:r>
      <w:r w:rsidR="007127B5" w:rsidRPr="00EA6803">
        <w:t xml:space="preserve">patrol </w:t>
      </w:r>
      <w:r w:rsidR="006A40F2" w:rsidRPr="00EA6803">
        <w:t>had traced and questioned Mr B.K.’s father</w:t>
      </w:r>
      <w:r w:rsidR="00EB3E70" w:rsidRPr="00EA6803">
        <w:t xml:space="preserve"> and asked him where his son was.</w:t>
      </w:r>
      <w:r w:rsidR="006A40F2" w:rsidRPr="00EA6803">
        <w:t xml:space="preserve"> However, the latter had denied </w:t>
      </w:r>
      <w:r w:rsidR="00EB3E70" w:rsidRPr="00EA6803">
        <w:t>having</w:t>
      </w:r>
      <w:r w:rsidR="006A40F2" w:rsidRPr="00EA6803">
        <w:t xml:space="preserve"> any son called B.K.  The document further states that an Albanian </w:t>
      </w:r>
      <w:proofErr w:type="spellStart"/>
      <w:r w:rsidR="006A40F2" w:rsidRPr="00EA6803">
        <w:t>neighbour</w:t>
      </w:r>
      <w:proofErr w:type="spellEnd"/>
      <w:r w:rsidR="006A40F2" w:rsidRPr="00EA6803">
        <w:t xml:space="preserve"> living in the same building </w:t>
      </w:r>
      <w:r w:rsidR="007127B5" w:rsidRPr="00EA6803">
        <w:t>as</w:t>
      </w:r>
      <w:r w:rsidR="006A40F2" w:rsidRPr="00EA6803">
        <w:t xml:space="preserve"> </w:t>
      </w:r>
      <w:proofErr w:type="spellStart"/>
      <w:r w:rsidR="006A40F2" w:rsidRPr="00EA6803">
        <w:t>Mrs</w:t>
      </w:r>
      <w:proofErr w:type="spellEnd"/>
      <w:r w:rsidR="006A40F2" w:rsidRPr="00EA6803">
        <w:t xml:space="preserve"> Vera </w:t>
      </w:r>
      <w:proofErr w:type="spellStart"/>
      <w:r w:rsidR="006A40F2" w:rsidRPr="00EA6803">
        <w:t>Škripac</w:t>
      </w:r>
      <w:proofErr w:type="spellEnd"/>
      <w:r w:rsidR="006A40F2" w:rsidRPr="00EA6803">
        <w:t xml:space="preserve"> (flat no. provided in the report) had told them that </w:t>
      </w:r>
      <w:proofErr w:type="spellStart"/>
      <w:r w:rsidR="006A40F2" w:rsidRPr="00EA6803">
        <w:t>Mrs</w:t>
      </w:r>
      <w:proofErr w:type="spellEnd"/>
      <w:r w:rsidR="006A40F2" w:rsidRPr="00EA6803">
        <w:t xml:space="preserve"> Vera </w:t>
      </w:r>
      <w:proofErr w:type="spellStart"/>
      <w:r w:rsidR="006A40F2" w:rsidRPr="00EA6803">
        <w:t>Škripac</w:t>
      </w:r>
      <w:proofErr w:type="spellEnd"/>
      <w:r w:rsidR="006A40F2" w:rsidRPr="00EA6803">
        <w:t xml:space="preserve"> was having problems with Albanian </w:t>
      </w:r>
      <w:proofErr w:type="spellStart"/>
      <w:r w:rsidR="006A40F2" w:rsidRPr="00EA6803">
        <w:t>neighbours</w:t>
      </w:r>
      <w:proofErr w:type="spellEnd"/>
      <w:r w:rsidR="006A40F2" w:rsidRPr="00EA6803">
        <w:t xml:space="preserve"> occupying the flat above </w:t>
      </w:r>
      <w:r w:rsidR="00C610BB" w:rsidRPr="00EA6803">
        <w:t xml:space="preserve">hers </w:t>
      </w:r>
      <w:r w:rsidR="006A40F2" w:rsidRPr="00EA6803">
        <w:t xml:space="preserve">and that they had probably kidnapped her. The KFOR </w:t>
      </w:r>
      <w:r w:rsidR="007127B5" w:rsidRPr="00EA6803">
        <w:t xml:space="preserve">patrol </w:t>
      </w:r>
      <w:r w:rsidR="006A40F2" w:rsidRPr="00EA6803">
        <w:t>had received confirmation fro</w:t>
      </w:r>
      <w:r w:rsidRPr="00EA6803">
        <w:t xml:space="preserve">m </w:t>
      </w:r>
      <w:proofErr w:type="spellStart"/>
      <w:r w:rsidRPr="00EA6803">
        <w:t>Mrs</w:t>
      </w:r>
      <w:proofErr w:type="spellEnd"/>
      <w:r w:rsidRPr="00EA6803">
        <w:t xml:space="preserve"> Vera </w:t>
      </w:r>
      <w:proofErr w:type="spellStart"/>
      <w:r w:rsidRPr="00EA6803">
        <w:t>Škripac’s</w:t>
      </w:r>
      <w:proofErr w:type="spellEnd"/>
      <w:r w:rsidRPr="00EA6803">
        <w:t xml:space="preserve"> son, the complainant, that “those” </w:t>
      </w:r>
      <w:proofErr w:type="spellStart"/>
      <w:r w:rsidRPr="00EA6803">
        <w:t>neighbours</w:t>
      </w:r>
      <w:proofErr w:type="spellEnd"/>
      <w:r w:rsidRPr="00EA6803">
        <w:t xml:space="preserve"> (no names provided) </w:t>
      </w:r>
      <w:r w:rsidR="007127B5" w:rsidRPr="00EA6803">
        <w:t xml:space="preserve">had </w:t>
      </w:r>
      <w:r w:rsidRPr="00EA6803">
        <w:t xml:space="preserve">threatened and intimidated her. On 13 September 1999, an investigator (unspecified whether a KFOR or UNMIK investigator) had located and questioned Mr B.K. about the fate of </w:t>
      </w:r>
      <w:proofErr w:type="spellStart"/>
      <w:r w:rsidRPr="00EA6803">
        <w:t>Mrs</w:t>
      </w:r>
      <w:proofErr w:type="spellEnd"/>
      <w:r w:rsidRPr="00EA6803">
        <w:t xml:space="preserve"> Vera </w:t>
      </w:r>
      <w:proofErr w:type="spellStart"/>
      <w:r w:rsidRPr="00EA6803">
        <w:t>Škripac</w:t>
      </w:r>
      <w:proofErr w:type="spellEnd"/>
      <w:r w:rsidRPr="00EA6803">
        <w:t xml:space="preserve">. He had confirmed that he had agreed to buy her flat and make an advance payment of </w:t>
      </w:r>
      <w:r w:rsidR="00E60ACB" w:rsidRPr="00EA6803">
        <w:t>“</w:t>
      </w:r>
      <w:r w:rsidRPr="00EA6803">
        <w:t>500 dinars</w:t>
      </w:r>
      <w:r w:rsidR="00E60ACB" w:rsidRPr="00EA6803">
        <w:t>”</w:t>
      </w:r>
      <w:r w:rsidRPr="00EA6803">
        <w:t>; however he</w:t>
      </w:r>
      <w:r w:rsidR="00C610BB" w:rsidRPr="00EA6803">
        <w:t xml:space="preserve"> had</w:t>
      </w:r>
      <w:r w:rsidRPr="00EA6803">
        <w:t xml:space="preserve"> stated</w:t>
      </w:r>
      <w:r w:rsidR="00C610BB" w:rsidRPr="00EA6803">
        <w:t xml:space="preserve"> that</w:t>
      </w:r>
      <w:r w:rsidRPr="00EA6803">
        <w:t xml:space="preserve"> </w:t>
      </w:r>
      <w:proofErr w:type="spellStart"/>
      <w:r w:rsidRPr="00EA6803">
        <w:t>Mrs</w:t>
      </w:r>
      <w:proofErr w:type="spellEnd"/>
      <w:r w:rsidRPr="00EA6803">
        <w:t xml:space="preserve"> Vera </w:t>
      </w:r>
      <w:proofErr w:type="spellStart"/>
      <w:r w:rsidRPr="00EA6803">
        <w:t>Škripac</w:t>
      </w:r>
      <w:proofErr w:type="spellEnd"/>
      <w:r w:rsidR="00E16F11" w:rsidRPr="00EA6803">
        <w:t xml:space="preserve"> was fine </w:t>
      </w:r>
      <w:r w:rsidRPr="00EA6803">
        <w:t>the last time</w:t>
      </w:r>
      <w:r w:rsidR="00E16F11" w:rsidRPr="00EA6803">
        <w:t xml:space="preserve"> that</w:t>
      </w:r>
      <w:r w:rsidRPr="00EA6803">
        <w:t xml:space="preserve"> he had seen her. When asked whether there were </w:t>
      </w:r>
      <w:proofErr w:type="spellStart"/>
      <w:r w:rsidRPr="00EA6803">
        <w:t>neig</w:t>
      </w:r>
      <w:r w:rsidR="00F80931">
        <w:t>h</w:t>
      </w:r>
      <w:r w:rsidRPr="00EA6803">
        <w:t>bours</w:t>
      </w:r>
      <w:proofErr w:type="spellEnd"/>
      <w:r w:rsidRPr="00EA6803">
        <w:t xml:space="preserve"> who were intimidating </w:t>
      </w:r>
      <w:proofErr w:type="spellStart"/>
      <w:r w:rsidRPr="00EA6803">
        <w:t>Mrs</w:t>
      </w:r>
      <w:proofErr w:type="spellEnd"/>
      <w:r w:rsidRPr="00EA6803">
        <w:t xml:space="preserve"> Vera </w:t>
      </w:r>
      <w:proofErr w:type="spellStart"/>
      <w:r w:rsidRPr="00EA6803">
        <w:t>Škripac</w:t>
      </w:r>
      <w:proofErr w:type="spellEnd"/>
      <w:r w:rsidRPr="00EA6803">
        <w:t xml:space="preserve">, </w:t>
      </w:r>
      <w:proofErr w:type="spellStart"/>
      <w:r w:rsidRPr="00EA6803">
        <w:t>Mr</w:t>
      </w:r>
      <w:proofErr w:type="spellEnd"/>
      <w:r w:rsidRPr="00EA6803">
        <w:t xml:space="preserve"> B.K. stated </w:t>
      </w:r>
      <w:r w:rsidR="007127B5" w:rsidRPr="00EA6803">
        <w:t xml:space="preserve">that </w:t>
      </w:r>
      <w:r w:rsidRPr="00EA6803">
        <w:t>he knew that she had “some problems” but he did not know with whom.  T</w:t>
      </w:r>
      <w:r w:rsidR="000303E4">
        <w:t>he document further states that</w:t>
      </w:r>
      <w:r w:rsidRPr="00EA6803">
        <w:t xml:space="preserve"> </w:t>
      </w:r>
      <w:proofErr w:type="spellStart"/>
      <w:r w:rsidRPr="00EA6803">
        <w:t>Mrs</w:t>
      </w:r>
      <w:proofErr w:type="spellEnd"/>
      <w:r w:rsidRPr="00EA6803">
        <w:t xml:space="preserve"> Vera </w:t>
      </w:r>
      <w:proofErr w:type="spellStart"/>
      <w:r w:rsidRPr="00EA6803">
        <w:t>Škripac’s</w:t>
      </w:r>
      <w:proofErr w:type="spellEnd"/>
      <w:r w:rsidRPr="00EA6803">
        <w:t xml:space="preserve"> son, the complainant, was able to speak on the phone to Mr B.K.’s wife. She had told him that Mr B.K. </w:t>
      </w:r>
      <w:r w:rsidR="007127B5" w:rsidRPr="00EA6803">
        <w:t xml:space="preserve">had </w:t>
      </w:r>
      <w:r w:rsidRPr="00EA6803">
        <w:t xml:space="preserve">returned home at </w:t>
      </w:r>
      <w:r w:rsidR="00A65030">
        <w:t>0</w:t>
      </w:r>
      <w:r w:rsidRPr="00EA6803">
        <w:t xml:space="preserve">1:00 </w:t>
      </w:r>
      <w:r w:rsidR="007127B5" w:rsidRPr="00EA6803">
        <w:t>on</w:t>
      </w:r>
      <w:r w:rsidR="00AE3D29" w:rsidRPr="00EA6803">
        <w:t xml:space="preserve"> </w:t>
      </w:r>
      <w:r w:rsidR="007127B5" w:rsidRPr="00EA6803">
        <w:t>t</w:t>
      </w:r>
      <w:r w:rsidR="00AE3D29" w:rsidRPr="00EA6803">
        <w:t>he</w:t>
      </w:r>
      <w:r w:rsidR="007127B5" w:rsidRPr="00EA6803">
        <w:t xml:space="preserve"> </w:t>
      </w:r>
      <w:r w:rsidRPr="00EA6803">
        <w:t xml:space="preserve">same night that he was supposed to buy the flat from </w:t>
      </w:r>
      <w:proofErr w:type="spellStart"/>
      <w:r w:rsidRPr="00EA6803">
        <w:t>Mrs</w:t>
      </w:r>
      <w:proofErr w:type="spellEnd"/>
      <w:r w:rsidRPr="00EA6803">
        <w:t xml:space="preserve"> Vera </w:t>
      </w:r>
      <w:proofErr w:type="spellStart"/>
      <w:r w:rsidRPr="00EA6803">
        <w:t>Škripac</w:t>
      </w:r>
      <w:proofErr w:type="spellEnd"/>
      <w:r w:rsidR="009E6D09" w:rsidRPr="00EA6803">
        <w:t xml:space="preserve">. Her husband told her that “they” had taken </w:t>
      </w:r>
      <w:r w:rsidR="009E6D09" w:rsidRPr="0050107D">
        <w:t xml:space="preserve">both him and </w:t>
      </w:r>
      <w:proofErr w:type="spellStart"/>
      <w:r w:rsidR="009E6D09" w:rsidRPr="0050107D">
        <w:t>Mrs</w:t>
      </w:r>
      <w:proofErr w:type="spellEnd"/>
      <w:r w:rsidR="009E6D09" w:rsidRPr="0050107D">
        <w:t xml:space="preserve"> Vera </w:t>
      </w:r>
      <w:proofErr w:type="spellStart"/>
      <w:r w:rsidR="009E6D09" w:rsidRPr="0050107D">
        <w:t>Škripac</w:t>
      </w:r>
      <w:proofErr w:type="spellEnd"/>
      <w:r w:rsidR="009E6D09" w:rsidRPr="0050107D">
        <w:t xml:space="preserve"> in two cars. Mr B.K. had been beaten up and then dropped in the outskirts of Prishtinë/Priština, but he did not know what had happened to </w:t>
      </w:r>
      <w:proofErr w:type="spellStart"/>
      <w:r w:rsidR="009E6D09" w:rsidRPr="0050107D">
        <w:t>Mrs</w:t>
      </w:r>
      <w:proofErr w:type="spellEnd"/>
      <w:r w:rsidR="009E6D09" w:rsidRPr="0050107D">
        <w:t xml:space="preserve"> Vera </w:t>
      </w:r>
      <w:proofErr w:type="spellStart"/>
      <w:r w:rsidR="009E6D09" w:rsidRPr="0050107D">
        <w:t>Škripac</w:t>
      </w:r>
      <w:proofErr w:type="spellEnd"/>
      <w:r w:rsidR="009E6D09" w:rsidRPr="0050107D">
        <w:t xml:space="preserve">. </w:t>
      </w:r>
    </w:p>
    <w:p w:rsidR="00A243DB" w:rsidRPr="0050107D" w:rsidRDefault="00A243DB" w:rsidP="00A243DB">
      <w:pPr>
        <w:pStyle w:val="ListParagraph"/>
        <w:widowControl w:val="0"/>
        <w:tabs>
          <w:tab w:val="left" w:pos="1080"/>
        </w:tabs>
        <w:ind w:left="360"/>
        <w:contextualSpacing/>
        <w:jc w:val="both"/>
        <w:rPr>
          <w:lang w:val="en-GB" w:eastAsia="en-GB"/>
        </w:rPr>
      </w:pPr>
    </w:p>
    <w:p w:rsidR="00C610BB" w:rsidRPr="0050107D" w:rsidRDefault="00A243DB" w:rsidP="00EB3E70">
      <w:pPr>
        <w:pStyle w:val="ListParagraph"/>
        <w:widowControl w:val="0"/>
        <w:numPr>
          <w:ilvl w:val="0"/>
          <w:numId w:val="2"/>
        </w:numPr>
        <w:tabs>
          <w:tab w:val="left" w:pos="360"/>
          <w:tab w:val="left" w:pos="1080"/>
        </w:tabs>
        <w:contextualSpacing/>
        <w:jc w:val="both"/>
        <w:rPr>
          <w:lang w:val="en-GB" w:eastAsia="en-GB"/>
        </w:rPr>
      </w:pPr>
      <w:r w:rsidRPr="0050107D">
        <w:rPr>
          <w:lang w:val="en-GB" w:eastAsia="en-GB"/>
        </w:rPr>
        <w:t xml:space="preserve">The file shows that the UNMIK Police MPU opened a missing person file for </w:t>
      </w:r>
      <w:proofErr w:type="spellStart"/>
      <w:r w:rsidRPr="0050107D">
        <w:t>Mrs</w:t>
      </w:r>
      <w:proofErr w:type="spellEnd"/>
      <w:r w:rsidRPr="0050107D">
        <w:t xml:space="preserve"> Vera </w:t>
      </w:r>
      <w:proofErr w:type="spellStart"/>
      <w:r w:rsidRPr="0050107D">
        <w:t>Škripac</w:t>
      </w:r>
      <w:proofErr w:type="spellEnd"/>
      <w:r w:rsidRPr="0050107D">
        <w:t xml:space="preserve"> </w:t>
      </w:r>
      <w:r w:rsidR="007127B5" w:rsidRPr="0050107D">
        <w:t>sometime</w:t>
      </w:r>
      <w:r w:rsidRPr="0050107D">
        <w:t xml:space="preserve"> in 2000, under case file no. 2000-000058. An MPU Case Continuation Report </w:t>
      </w:r>
      <w:r w:rsidR="00C92F9B" w:rsidRPr="0050107D">
        <w:t>with seven entries ranging from December 2000 to July 2003</w:t>
      </w:r>
      <w:r w:rsidR="00C610BB" w:rsidRPr="0050107D">
        <w:t xml:space="preserve"> is included in the file</w:t>
      </w:r>
      <w:r w:rsidR="00C92F9B" w:rsidRPr="0050107D">
        <w:t>. The entries state that, during this time, the MPU had</w:t>
      </w:r>
      <w:r w:rsidR="001A3877" w:rsidRPr="0050107D">
        <w:t xml:space="preserve"> contacted the two sons of </w:t>
      </w:r>
      <w:proofErr w:type="spellStart"/>
      <w:r w:rsidR="001A3877" w:rsidRPr="0050107D">
        <w:t>Mrs</w:t>
      </w:r>
      <w:proofErr w:type="spellEnd"/>
      <w:r w:rsidR="001A3877" w:rsidRPr="0050107D">
        <w:t xml:space="preserve"> Vera </w:t>
      </w:r>
      <w:proofErr w:type="spellStart"/>
      <w:r w:rsidR="001A3877" w:rsidRPr="0050107D">
        <w:t>Škripac</w:t>
      </w:r>
      <w:proofErr w:type="spellEnd"/>
      <w:r w:rsidR="001A3877" w:rsidRPr="0050107D">
        <w:t xml:space="preserve"> (one of them being the complainant) to gather and record ante-mortem information</w:t>
      </w:r>
      <w:r w:rsidR="001A3877" w:rsidRPr="0050107D">
        <w:rPr>
          <w:lang w:val="en-GB" w:eastAsia="en-GB"/>
        </w:rPr>
        <w:t xml:space="preserve"> and </w:t>
      </w:r>
      <w:r w:rsidR="007127B5" w:rsidRPr="0050107D">
        <w:rPr>
          <w:lang w:val="en-GB" w:eastAsia="en-GB"/>
        </w:rPr>
        <w:t xml:space="preserve">to </w:t>
      </w:r>
      <w:r w:rsidR="001A3877" w:rsidRPr="0050107D">
        <w:rPr>
          <w:lang w:val="en-GB" w:eastAsia="en-GB"/>
        </w:rPr>
        <w:t xml:space="preserve">verify whether the mortal remains of an unidentified woman, which had been found on 18 June 2000 in the </w:t>
      </w:r>
      <w:proofErr w:type="spellStart"/>
      <w:r w:rsidR="001A3877" w:rsidRPr="0050107D">
        <w:rPr>
          <w:lang w:val="en-GB" w:eastAsia="en-GB"/>
        </w:rPr>
        <w:t>Dragodan</w:t>
      </w:r>
      <w:proofErr w:type="spellEnd"/>
      <w:r w:rsidR="001A3877" w:rsidRPr="0050107D">
        <w:rPr>
          <w:lang w:val="en-GB" w:eastAsia="en-GB"/>
        </w:rPr>
        <w:t xml:space="preserve"> cemetery of </w:t>
      </w:r>
      <w:proofErr w:type="spellStart"/>
      <w:r w:rsidR="001A3877" w:rsidRPr="0050107D">
        <w:rPr>
          <w:lang w:val="en-GB" w:eastAsia="en-GB"/>
        </w:rPr>
        <w:t>Prishtinë</w:t>
      </w:r>
      <w:proofErr w:type="spellEnd"/>
      <w:r w:rsidR="001A3877" w:rsidRPr="0050107D">
        <w:rPr>
          <w:lang w:val="en-GB" w:eastAsia="en-GB"/>
        </w:rPr>
        <w:t>/</w:t>
      </w:r>
      <w:proofErr w:type="spellStart"/>
      <w:r w:rsidR="001A3877" w:rsidRPr="0050107D">
        <w:rPr>
          <w:lang w:val="en-GB" w:eastAsia="en-GB"/>
        </w:rPr>
        <w:t>Priština</w:t>
      </w:r>
      <w:proofErr w:type="spellEnd"/>
      <w:r w:rsidR="001A3877" w:rsidRPr="0050107D">
        <w:rPr>
          <w:lang w:val="en-GB" w:eastAsia="en-GB"/>
        </w:rPr>
        <w:t xml:space="preserve">, were those of </w:t>
      </w:r>
      <w:proofErr w:type="spellStart"/>
      <w:r w:rsidR="001A3877" w:rsidRPr="0050107D">
        <w:t>Mrs</w:t>
      </w:r>
      <w:proofErr w:type="spellEnd"/>
      <w:r w:rsidR="001A3877" w:rsidRPr="0050107D">
        <w:t xml:space="preserve"> Vera </w:t>
      </w:r>
      <w:proofErr w:type="spellStart"/>
      <w:r w:rsidR="001A3877" w:rsidRPr="0050107D">
        <w:t>Škripac</w:t>
      </w:r>
      <w:proofErr w:type="spellEnd"/>
      <w:r w:rsidR="001A3877" w:rsidRPr="0050107D">
        <w:t xml:space="preserve">. The last entry in the report, dated 25 July 2003, states that a DNA test had been conducted, with negative results. </w:t>
      </w:r>
    </w:p>
    <w:p w:rsidR="00C610BB" w:rsidRPr="0050107D" w:rsidRDefault="00C610BB" w:rsidP="00C610BB">
      <w:pPr>
        <w:pStyle w:val="ListParagraph"/>
      </w:pPr>
    </w:p>
    <w:p w:rsidR="006A40F2" w:rsidRPr="0050107D" w:rsidRDefault="00296E8B" w:rsidP="00EB3E70">
      <w:pPr>
        <w:pStyle w:val="ListParagraph"/>
        <w:widowControl w:val="0"/>
        <w:numPr>
          <w:ilvl w:val="0"/>
          <w:numId w:val="2"/>
        </w:numPr>
        <w:tabs>
          <w:tab w:val="left" w:pos="360"/>
          <w:tab w:val="left" w:pos="1080"/>
        </w:tabs>
        <w:contextualSpacing/>
        <w:jc w:val="both"/>
        <w:rPr>
          <w:lang w:val="en-GB" w:eastAsia="en-GB"/>
        </w:rPr>
      </w:pPr>
      <w:r w:rsidRPr="0050107D">
        <w:t xml:space="preserve">Among the documents attached to the MPU Case Continuation </w:t>
      </w:r>
      <w:r w:rsidR="00C610BB" w:rsidRPr="0050107D">
        <w:t>Report mentioned above is the second page</w:t>
      </w:r>
      <w:r w:rsidRPr="0050107D">
        <w:t xml:space="preserve"> of an MPU investigation report documenting the encounter between the MPU and </w:t>
      </w:r>
      <w:proofErr w:type="spellStart"/>
      <w:r w:rsidRPr="0050107D">
        <w:t>Mrs</w:t>
      </w:r>
      <w:proofErr w:type="spellEnd"/>
      <w:r w:rsidRPr="0050107D">
        <w:t xml:space="preserve"> Vera </w:t>
      </w:r>
      <w:proofErr w:type="spellStart"/>
      <w:r w:rsidRPr="0050107D">
        <w:t>Škripac’s</w:t>
      </w:r>
      <w:proofErr w:type="spellEnd"/>
      <w:r w:rsidRPr="0050107D">
        <w:t xml:space="preserve"> sons,</w:t>
      </w:r>
      <w:r w:rsidR="00E16F11" w:rsidRPr="0050107D">
        <w:t xml:space="preserve"> which</w:t>
      </w:r>
      <w:r w:rsidRPr="0050107D">
        <w:t xml:space="preserve"> occurred on 27 April 2001 in </w:t>
      </w:r>
      <w:proofErr w:type="spellStart"/>
      <w:proofErr w:type="gramStart"/>
      <w:r w:rsidRPr="0050107D">
        <w:t>Merdare</w:t>
      </w:r>
      <w:proofErr w:type="spellEnd"/>
      <w:r w:rsidRPr="0050107D">
        <w:t>.</w:t>
      </w:r>
      <w:proofErr w:type="gramEnd"/>
      <w:r w:rsidRPr="0050107D">
        <w:t xml:space="preserve"> Under the field “narrative”, the report describes the efforts made to gather ante-mortem data on </w:t>
      </w:r>
      <w:proofErr w:type="spellStart"/>
      <w:r w:rsidRPr="0050107D">
        <w:t>Mrs</w:t>
      </w:r>
      <w:proofErr w:type="spellEnd"/>
      <w:r w:rsidRPr="0050107D">
        <w:t xml:space="preserve"> Vera </w:t>
      </w:r>
      <w:proofErr w:type="spellStart"/>
      <w:r w:rsidRPr="0050107D">
        <w:t>Škri</w:t>
      </w:r>
      <w:r w:rsidR="000303E4">
        <w:t>pac</w:t>
      </w:r>
      <w:proofErr w:type="spellEnd"/>
      <w:r w:rsidR="000303E4">
        <w:t>. T</w:t>
      </w:r>
      <w:r w:rsidRPr="0050107D">
        <w:t xml:space="preserve">he report provides further details </w:t>
      </w:r>
      <w:r w:rsidR="007127B5" w:rsidRPr="0050107D">
        <w:t xml:space="preserve">about </w:t>
      </w:r>
      <w:r w:rsidRPr="0050107D">
        <w:t xml:space="preserve">the disappearance of </w:t>
      </w:r>
      <w:proofErr w:type="spellStart"/>
      <w:r w:rsidRPr="0050107D">
        <w:t>Mrs</w:t>
      </w:r>
      <w:proofErr w:type="spellEnd"/>
      <w:r w:rsidRPr="0050107D">
        <w:t xml:space="preserve"> Vera </w:t>
      </w:r>
      <w:proofErr w:type="spellStart"/>
      <w:r w:rsidRPr="0050107D">
        <w:t>Škripac</w:t>
      </w:r>
      <w:proofErr w:type="spellEnd"/>
      <w:r w:rsidRPr="0050107D">
        <w:t xml:space="preserve">, as provided by her </w:t>
      </w:r>
      <w:r w:rsidR="00E16F11" w:rsidRPr="0050107D">
        <w:t xml:space="preserve">other </w:t>
      </w:r>
      <w:r w:rsidRPr="0050107D">
        <w:t>so</w:t>
      </w:r>
      <w:r w:rsidR="00E60ACB" w:rsidRPr="0050107D">
        <w:t>n</w:t>
      </w:r>
      <w:r w:rsidR="007127B5" w:rsidRPr="0050107D">
        <w:t>,</w:t>
      </w:r>
      <w:r w:rsidR="00E60ACB" w:rsidRPr="0050107D">
        <w:t xml:space="preserve"> Z</w:t>
      </w:r>
      <w:r w:rsidR="00C610BB" w:rsidRPr="0050107D">
        <w:t xml:space="preserve">. A former </w:t>
      </w:r>
      <w:proofErr w:type="spellStart"/>
      <w:r w:rsidR="00C610BB" w:rsidRPr="0050107D">
        <w:t>neighbour</w:t>
      </w:r>
      <w:proofErr w:type="spellEnd"/>
      <w:r w:rsidR="00C610BB" w:rsidRPr="0050107D">
        <w:t xml:space="preserve"> of</w:t>
      </w:r>
      <w:r w:rsidRPr="0050107D">
        <w:t xml:space="preserve"> </w:t>
      </w:r>
      <w:proofErr w:type="spellStart"/>
      <w:r w:rsidRPr="0050107D">
        <w:t>Mrs</w:t>
      </w:r>
      <w:proofErr w:type="spellEnd"/>
      <w:r w:rsidRPr="0050107D">
        <w:t xml:space="preserve"> Vera </w:t>
      </w:r>
      <w:proofErr w:type="spellStart"/>
      <w:r w:rsidRPr="0050107D">
        <w:t>Škripac</w:t>
      </w:r>
      <w:proofErr w:type="spellEnd"/>
      <w:r w:rsidRPr="0050107D">
        <w:t xml:space="preserve"> (</w:t>
      </w:r>
      <w:r w:rsidR="00814547" w:rsidRPr="0050107D">
        <w:t xml:space="preserve">M.C., </w:t>
      </w:r>
      <w:r w:rsidRPr="0050107D">
        <w:t>full name and country of residence abroad provided) who</w:t>
      </w:r>
      <w:r w:rsidR="00C610BB" w:rsidRPr="0050107D">
        <w:t>, at the time of the abduction,</w:t>
      </w:r>
      <w:r w:rsidRPr="0050107D">
        <w:t xml:space="preserve"> was living on the third or fourth floor of the building,</w:t>
      </w:r>
      <w:r w:rsidR="00E60ACB" w:rsidRPr="0050107D">
        <w:t xml:space="preserve"> had spoken to Z.</w:t>
      </w:r>
      <w:r w:rsidR="003F1BA7" w:rsidRPr="0050107D">
        <w:t xml:space="preserve"> by phone the day after his mother’s disappearance</w:t>
      </w:r>
      <w:r w:rsidR="00B00875" w:rsidRPr="0050107D">
        <w:t xml:space="preserve"> and informed </w:t>
      </w:r>
      <w:r w:rsidR="007127B5" w:rsidRPr="0050107D">
        <w:t xml:space="preserve">him </w:t>
      </w:r>
      <w:r w:rsidR="00B00875" w:rsidRPr="0050107D">
        <w:t>that the lawyer</w:t>
      </w:r>
      <w:r w:rsidR="00E60ACB" w:rsidRPr="0050107D">
        <w:t>,</w:t>
      </w:r>
      <w:r w:rsidR="00B00875" w:rsidRPr="0050107D">
        <w:t xml:space="preserve"> </w:t>
      </w:r>
      <w:r w:rsidR="00C610BB" w:rsidRPr="0050107D">
        <w:t xml:space="preserve">Mr </w:t>
      </w:r>
      <w:r w:rsidR="00E60ACB" w:rsidRPr="0050107D">
        <w:t xml:space="preserve">B.K., </w:t>
      </w:r>
      <w:r w:rsidR="00B00875" w:rsidRPr="0050107D">
        <w:t>knew the abductors since he was calling them</w:t>
      </w:r>
      <w:r w:rsidR="00160A92" w:rsidRPr="0050107D">
        <w:t xml:space="preserve"> by name. When</w:t>
      </w:r>
      <w:r w:rsidR="00B00875" w:rsidRPr="0050107D">
        <w:t xml:space="preserve"> the complainant had approached </w:t>
      </w:r>
      <w:r w:rsidR="00C610BB" w:rsidRPr="0050107D">
        <w:t xml:space="preserve">Mr </w:t>
      </w:r>
      <w:r w:rsidR="00B00875" w:rsidRPr="0050107D">
        <w:t xml:space="preserve">B.K. two days later, </w:t>
      </w:r>
      <w:r w:rsidR="007127B5" w:rsidRPr="0050107D">
        <w:t xml:space="preserve">the latter </w:t>
      </w:r>
      <w:r w:rsidR="00B00875" w:rsidRPr="0050107D">
        <w:t xml:space="preserve">explained that he could not give the names of the perpetrators </w:t>
      </w:r>
      <w:r w:rsidR="00160A92" w:rsidRPr="0050107D">
        <w:t>for fear of</w:t>
      </w:r>
      <w:r w:rsidR="00B00875" w:rsidRPr="0050107D">
        <w:t xml:space="preserve"> ret</w:t>
      </w:r>
      <w:r w:rsidR="00160A92" w:rsidRPr="0050107D">
        <w:t>aliations against his family. Mr B.K.</w:t>
      </w:r>
      <w:r w:rsidR="00B00875" w:rsidRPr="0050107D">
        <w:t xml:space="preserve"> had only said that </w:t>
      </w:r>
      <w:proofErr w:type="spellStart"/>
      <w:r w:rsidR="00B00875" w:rsidRPr="0050107D">
        <w:t>Mrs</w:t>
      </w:r>
      <w:proofErr w:type="spellEnd"/>
      <w:r w:rsidR="00B00875" w:rsidRPr="0050107D">
        <w:t xml:space="preserve"> Vera </w:t>
      </w:r>
      <w:proofErr w:type="spellStart"/>
      <w:r w:rsidR="00B00875" w:rsidRPr="0050107D">
        <w:t>Škripac</w:t>
      </w:r>
      <w:proofErr w:type="spellEnd"/>
      <w:r w:rsidR="00B00875" w:rsidRPr="0050107D">
        <w:t xml:space="preserve"> and he had been taken away in two cars, a red Opel </w:t>
      </w:r>
      <w:proofErr w:type="spellStart"/>
      <w:r w:rsidR="00B00875" w:rsidRPr="0050107D">
        <w:t>Cadett</w:t>
      </w:r>
      <w:proofErr w:type="spellEnd"/>
      <w:r w:rsidR="00B00875" w:rsidRPr="0050107D">
        <w:t xml:space="preserve"> and a huge black car. The report further states that “the upper neighbor” of </w:t>
      </w:r>
      <w:proofErr w:type="spellStart"/>
      <w:r w:rsidR="00B00875" w:rsidRPr="0050107D">
        <w:t>Mrs</w:t>
      </w:r>
      <w:proofErr w:type="spellEnd"/>
      <w:r w:rsidR="00B00875" w:rsidRPr="0050107D">
        <w:t xml:space="preserve"> Vera </w:t>
      </w:r>
      <w:proofErr w:type="spellStart"/>
      <w:r w:rsidR="00B00875" w:rsidRPr="0050107D">
        <w:t>Škripac</w:t>
      </w:r>
      <w:proofErr w:type="spellEnd"/>
      <w:r w:rsidR="00C610BB" w:rsidRPr="0050107D">
        <w:t>, who was</w:t>
      </w:r>
      <w:r w:rsidR="00B00875" w:rsidRPr="0050107D">
        <w:t xml:space="preserve"> a former KLA member </w:t>
      </w:r>
      <w:r w:rsidR="00160A92" w:rsidRPr="0050107D">
        <w:t xml:space="preserve">who was </w:t>
      </w:r>
      <w:r w:rsidR="00B00875" w:rsidRPr="0050107D">
        <w:t>“wounded during the war and walking with a stick”</w:t>
      </w:r>
      <w:r w:rsidR="007127B5" w:rsidRPr="0050107D">
        <w:t>,</w:t>
      </w:r>
      <w:r w:rsidR="00B00875" w:rsidRPr="0050107D">
        <w:t xml:space="preserve"> was believed to be the person behind her disappearance, since he had “threatened, intimidated and beat up her often” in the past. The report also states that there was a Kosovo Serb </w:t>
      </w:r>
      <w:proofErr w:type="spellStart"/>
      <w:r w:rsidR="00B00875" w:rsidRPr="0050107D">
        <w:t>neighbour</w:t>
      </w:r>
      <w:proofErr w:type="spellEnd"/>
      <w:r w:rsidR="00B00875" w:rsidRPr="0050107D">
        <w:t xml:space="preserve"> in the next building, (</w:t>
      </w:r>
      <w:r w:rsidR="00805817" w:rsidRPr="0050107D">
        <w:t xml:space="preserve">N.T., </w:t>
      </w:r>
      <w:r w:rsidR="00B00875" w:rsidRPr="0050107D">
        <w:t xml:space="preserve">full name and telephone no. provided) who could have had information on the matter. </w:t>
      </w:r>
    </w:p>
    <w:p w:rsidR="00DE3371" w:rsidRPr="0050107D" w:rsidRDefault="00DE3371" w:rsidP="00DE3371">
      <w:pPr>
        <w:pStyle w:val="ListParagraph"/>
        <w:widowControl w:val="0"/>
        <w:tabs>
          <w:tab w:val="left" w:pos="1080"/>
        </w:tabs>
        <w:ind w:left="360"/>
        <w:contextualSpacing/>
        <w:jc w:val="both"/>
        <w:rPr>
          <w:lang w:val="en-GB" w:eastAsia="en-GB"/>
        </w:rPr>
      </w:pPr>
    </w:p>
    <w:p w:rsidR="00DE3371" w:rsidRPr="0050107D" w:rsidRDefault="00DE3371" w:rsidP="00C26CF4">
      <w:pPr>
        <w:pStyle w:val="ListParagraph"/>
        <w:widowControl w:val="0"/>
        <w:numPr>
          <w:ilvl w:val="0"/>
          <w:numId w:val="2"/>
        </w:numPr>
        <w:tabs>
          <w:tab w:val="left" w:pos="1080"/>
        </w:tabs>
        <w:contextualSpacing/>
        <w:jc w:val="both"/>
        <w:rPr>
          <w:lang w:val="en-GB" w:eastAsia="en-GB"/>
        </w:rPr>
      </w:pPr>
      <w:r w:rsidRPr="0050107D">
        <w:t xml:space="preserve">The remaining documents in this part of the file are several copies of </w:t>
      </w:r>
      <w:r w:rsidRPr="0050107D">
        <w:rPr>
          <w:lang w:val="en-GB" w:eastAsia="en-GB"/>
        </w:rPr>
        <w:t>undated</w:t>
      </w:r>
      <w:r w:rsidRPr="0050107D">
        <w:rPr>
          <w:lang w:val="en-GB"/>
        </w:rPr>
        <w:t xml:space="preserve"> Victim Identification Forms for </w:t>
      </w:r>
      <w:proofErr w:type="spellStart"/>
      <w:r w:rsidRPr="0050107D">
        <w:t>Mrs</w:t>
      </w:r>
      <w:proofErr w:type="spellEnd"/>
      <w:r w:rsidRPr="0050107D">
        <w:t xml:space="preserve"> Vera </w:t>
      </w:r>
      <w:proofErr w:type="spellStart"/>
      <w:r w:rsidRPr="0050107D">
        <w:t>Škripac</w:t>
      </w:r>
      <w:proofErr w:type="spellEnd"/>
      <w:r w:rsidRPr="0050107D">
        <w:t xml:space="preserve">, affixed with MPU case file no. 1999-000058 [sic]. Apart from containing </w:t>
      </w:r>
      <w:proofErr w:type="spellStart"/>
      <w:r w:rsidRPr="0050107D">
        <w:t>Mrs</w:t>
      </w:r>
      <w:proofErr w:type="spellEnd"/>
      <w:r w:rsidRPr="0050107D">
        <w:t xml:space="preserve"> Vera </w:t>
      </w:r>
      <w:proofErr w:type="spellStart"/>
      <w:r w:rsidRPr="0050107D">
        <w:t>Škripac’s</w:t>
      </w:r>
      <w:proofErr w:type="spellEnd"/>
      <w:r w:rsidRPr="0050107D">
        <w:t xml:space="preserve"> ante-mortem information, the Forms provide the home addresses and telephone numbers outside of Kosovo of the complainant and of </w:t>
      </w:r>
      <w:proofErr w:type="spellStart"/>
      <w:r w:rsidRPr="0050107D">
        <w:t>Mrs</w:t>
      </w:r>
      <w:proofErr w:type="spellEnd"/>
      <w:r w:rsidRPr="0050107D">
        <w:t xml:space="preserve"> Vera </w:t>
      </w:r>
      <w:proofErr w:type="spellStart"/>
      <w:r w:rsidRPr="0050107D">
        <w:t>Škripac’s</w:t>
      </w:r>
      <w:proofErr w:type="spellEnd"/>
      <w:r w:rsidRPr="0050107D">
        <w:t xml:space="preserve"> sister, indicated as her next-of-kin.</w:t>
      </w:r>
    </w:p>
    <w:p w:rsidR="00CD2DB5" w:rsidRPr="0050107D" w:rsidRDefault="00CD2DB5" w:rsidP="00CD2DB5">
      <w:pPr>
        <w:pStyle w:val="ListParagraph"/>
        <w:rPr>
          <w:lang w:val="en-GB" w:eastAsia="en-GB"/>
        </w:rPr>
      </w:pPr>
    </w:p>
    <w:p w:rsidR="00CF3C1B" w:rsidRPr="0050107D" w:rsidRDefault="00CA5FD3" w:rsidP="00CA5FD3">
      <w:pPr>
        <w:ind w:left="360"/>
        <w:rPr>
          <w:i/>
          <w:lang w:val="en-GB" w:eastAsia="en-GB"/>
        </w:rPr>
      </w:pPr>
      <w:r w:rsidRPr="0050107D">
        <w:rPr>
          <w:i/>
          <w:lang w:val="en-GB" w:eastAsia="en-GB"/>
        </w:rPr>
        <w:t>The WCIU file</w:t>
      </w:r>
    </w:p>
    <w:p w:rsidR="00CF3C1B" w:rsidRPr="0050107D" w:rsidRDefault="00CF3C1B" w:rsidP="00CD2DB5">
      <w:pPr>
        <w:pStyle w:val="ListParagraph"/>
        <w:rPr>
          <w:i/>
          <w:lang w:val="en-GB" w:eastAsia="en-GB"/>
        </w:rPr>
      </w:pPr>
    </w:p>
    <w:p w:rsidR="00CA5FD3" w:rsidRPr="0050107D" w:rsidRDefault="00CF3C1B" w:rsidP="00BA1556">
      <w:pPr>
        <w:pStyle w:val="ListParagraph"/>
        <w:widowControl w:val="0"/>
        <w:numPr>
          <w:ilvl w:val="0"/>
          <w:numId w:val="2"/>
        </w:numPr>
        <w:tabs>
          <w:tab w:val="left" w:pos="360"/>
          <w:tab w:val="left" w:pos="1080"/>
        </w:tabs>
        <w:contextualSpacing/>
        <w:jc w:val="both"/>
        <w:rPr>
          <w:lang w:val="en-GB" w:eastAsia="en-GB"/>
        </w:rPr>
      </w:pPr>
      <w:bookmarkStart w:id="18" w:name="_Ref424213829"/>
      <w:r w:rsidRPr="0050107D">
        <w:rPr>
          <w:lang w:val="en-GB" w:eastAsia="en-GB"/>
        </w:rPr>
        <w:t xml:space="preserve">The WCIU file contains </w:t>
      </w:r>
      <w:r w:rsidR="00CA5FD3" w:rsidRPr="0050107D">
        <w:rPr>
          <w:lang w:val="en-GB" w:eastAsia="en-GB"/>
        </w:rPr>
        <w:t>three documents. The first document is the</w:t>
      </w:r>
      <w:r w:rsidR="00DE1324" w:rsidRPr="0050107D">
        <w:rPr>
          <w:lang w:val="en-GB" w:eastAsia="en-GB"/>
        </w:rPr>
        <w:t xml:space="preserve"> English translation of </w:t>
      </w:r>
      <w:r w:rsidR="00CA5FD3" w:rsidRPr="0050107D">
        <w:rPr>
          <w:lang w:val="en-GB" w:eastAsia="en-GB"/>
        </w:rPr>
        <w:t>a criminal complaint file</w:t>
      </w:r>
      <w:r w:rsidR="007127B5" w:rsidRPr="0050107D">
        <w:rPr>
          <w:lang w:val="en-GB" w:eastAsia="en-GB"/>
        </w:rPr>
        <w:t>d</w:t>
      </w:r>
      <w:r w:rsidR="00CA5FD3" w:rsidRPr="0050107D">
        <w:rPr>
          <w:lang w:val="en-GB" w:eastAsia="en-GB"/>
        </w:rPr>
        <w:t xml:space="preserve"> by the complainant with the International Prosecutor of the DPPO in </w:t>
      </w:r>
      <w:proofErr w:type="spellStart"/>
      <w:r w:rsidR="00CA5FD3" w:rsidRPr="0050107D">
        <w:rPr>
          <w:lang w:val="en-GB" w:eastAsia="en-GB"/>
        </w:rPr>
        <w:t>Prishtinë</w:t>
      </w:r>
      <w:proofErr w:type="spellEnd"/>
      <w:r w:rsidR="00CA5FD3" w:rsidRPr="0050107D">
        <w:rPr>
          <w:lang w:val="en-GB" w:eastAsia="en-GB"/>
        </w:rPr>
        <w:t>/</w:t>
      </w:r>
      <w:proofErr w:type="spellStart"/>
      <w:r w:rsidR="00CA5FD3" w:rsidRPr="0050107D">
        <w:rPr>
          <w:lang w:val="en-GB" w:eastAsia="en-GB"/>
        </w:rPr>
        <w:t>Priština</w:t>
      </w:r>
      <w:proofErr w:type="spellEnd"/>
      <w:r w:rsidR="007127B5" w:rsidRPr="0050107D">
        <w:rPr>
          <w:lang w:val="en-GB" w:eastAsia="en-GB"/>
        </w:rPr>
        <w:t>,</w:t>
      </w:r>
      <w:r w:rsidR="00DE1324" w:rsidRPr="0050107D">
        <w:rPr>
          <w:lang w:val="en-GB" w:eastAsia="en-GB"/>
        </w:rPr>
        <w:t xml:space="preserve"> which is affixed with CCIU case file no. 2005/00087. A translator’s note at the bottom of the report indicates that it was created on 2 February 2005. The report states that on 12 September 1999, Mrs</w:t>
      </w:r>
      <w:r w:rsidR="006508E1" w:rsidRPr="0050107D">
        <w:rPr>
          <w:lang w:val="en-GB" w:eastAsia="en-GB"/>
        </w:rPr>
        <w:t xml:space="preserve"> Vera</w:t>
      </w:r>
      <w:r w:rsidR="00DE1324" w:rsidRPr="0050107D">
        <w:rPr>
          <w:lang w:val="en-GB" w:eastAsia="en-GB"/>
        </w:rPr>
        <w:t xml:space="preserve"> </w:t>
      </w:r>
      <w:proofErr w:type="spellStart"/>
      <w:r w:rsidR="00DE1324" w:rsidRPr="0050107D">
        <w:rPr>
          <w:lang w:val="en-GB" w:eastAsia="en-GB"/>
        </w:rPr>
        <w:t>Škripac</w:t>
      </w:r>
      <w:proofErr w:type="spellEnd"/>
      <w:r w:rsidR="00DE1324" w:rsidRPr="0050107D">
        <w:rPr>
          <w:lang w:val="en-GB" w:eastAsia="en-GB"/>
        </w:rPr>
        <w:t xml:space="preserve"> was kidnapped “in an extremely brutal manner” from her apartment in Prishtinë/Priština, </w:t>
      </w:r>
      <w:r w:rsidR="007127B5" w:rsidRPr="0050107D">
        <w:rPr>
          <w:lang w:val="en-GB" w:eastAsia="en-GB"/>
        </w:rPr>
        <w:t xml:space="preserve">in </w:t>
      </w:r>
      <w:r w:rsidR="00DE1324" w:rsidRPr="0050107D">
        <w:rPr>
          <w:lang w:val="en-GB" w:eastAsia="en-GB"/>
        </w:rPr>
        <w:t xml:space="preserve">the presence of Mr B.K. (the same person referred to in §§ </w:t>
      </w:r>
      <w:r w:rsidR="00BE35E8" w:rsidRPr="0050107D">
        <w:rPr>
          <w:lang w:val="en-GB" w:eastAsia="en-GB"/>
        </w:rPr>
        <w:t xml:space="preserve">29-35 </w:t>
      </w:r>
      <w:r w:rsidR="00DE1324" w:rsidRPr="0050107D">
        <w:rPr>
          <w:lang w:val="en-GB" w:eastAsia="en-GB"/>
        </w:rPr>
        <w:t xml:space="preserve">above). </w:t>
      </w:r>
      <w:r w:rsidR="006508E1" w:rsidRPr="0050107D">
        <w:rPr>
          <w:lang w:val="en-GB" w:eastAsia="en-GB"/>
        </w:rPr>
        <w:t xml:space="preserve">They were taken out of the apartment and put into a red car by a group of armed KLA members. Mr B.K. was released on the same day while Mrs Vera </w:t>
      </w:r>
      <w:proofErr w:type="spellStart"/>
      <w:r w:rsidR="006508E1" w:rsidRPr="0050107D">
        <w:rPr>
          <w:lang w:val="en-GB" w:eastAsia="en-GB"/>
        </w:rPr>
        <w:t>Škripac</w:t>
      </w:r>
      <w:proofErr w:type="spellEnd"/>
      <w:r w:rsidR="006508E1" w:rsidRPr="0050107D">
        <w:rPr>
          <w:lang w:val="en-GB" w:eastAsia="en-GB"/>
        </w:rPr>
        <w:t xml:space="preserve"> disappeared without a trace. The report further states that the kidnapping and disappearance had been </w:t>
      </w:r>
      <w:r w:rsidR="00160A92" w:rsidRPr="0050107D">
        <w:rPr>
          <w:lang w:val="en-GB" w:eastAsia="en-GB"/>
        </w:rPr>
        <w:t xml:space="preserve">reported on the same day to  </w:t>
      </w:r>
      <w:r w:rsidR="006508E1" w:rsidRPr="0050107D">
        <w:rPr>
          <w:lang w:val="en-GB" w:eastAsia="en-GB"/>
        </w:rPr>
        <w:t xml:space="preserve">KFOR; however it had been made “impossible for the injured party, as the person submitting the criminal report, to receive information about the measures taken to find the kidnapped person and about the perpetrators”. </w:t>
      </w:r>
    </w:p>
    <w:p w:rsidR="006508E1" w:rsidRPr="0050107D" w:rsidRDefault="006508E1" w:rsidP="006508E1">
      <w:pPr>
        <w:pStyle w:val="ListParagraph"/>
        <w:widowControl w:val="0"/>
        <w:tabs>
          <w:tab w:val="left" w:pos="1080"/>
        </w:tabs>
        <w:ind w:left="360"/>
        <w:contextualSpacing/>
        <w:jc w:val="both"/>
        <w:rPr>
          <w:lang w:val="en-GB" w:eastAsia="en-GB"/>
        </w:rPr>
      </w:pPr>
    </w:p>
    <w:p w:rsidR="009462CF" w:rsidRPr="0050107D" w:rsidRDefault="006508E1" w:rsidP="009462CF">
      <w:pPr>
        <w:pStyle w:val="ListParagraph"/>
        <w:widowControl w:val="0"/>
        <w:numPr>
          <w:ilvl w:val="0"/>
          <w:numId w:val="2"/>
        </w:numPr>
        <w:tabs>
          <w:tab w:val="left" w:pos="1080"/>
        </w:tabs>
        <w:contextualSpacing/>
        <w:jc w:val="both"/>
        <w:rPr>
          <w:lang w:val="en-GB" w:eastAsia="en-GB"/>
        </w:rPr>
      </w:pPr>
      <w:r w:rsidRPr="0050107D">
        <w:rPr>
          <w:lang w:val="en-GB" w:eastAsia="en-GB"/>
        </w:rPr>
        <w:t xml:space="preserve">The second document </w:t>
      </w:r>
      <w:r w:rsidR="009462CF" w:rsidRPr="0050107D">
        <w:rPr>
          <w:lang w:val="en-GB" w:eastAsia="en-GB"/>
        </w:rPr>
        <w:t xml:space="preserve">in the WCIU file is the printout of a WCIU Case Report, generated </w:t>
      </w:r>
      <w:r w:rsidR="00BE35E8" w:rsidRPr="0050107D">
        <w:rPr>
          <w:lang w:val="en-GB" w:eastAsia="en-GB"/>
        </w:rPr>
        <w:t xml:space="preserve">on </w:t>
      </w:r>
      <w:r w:rsidR="009462CF" w:rsidRPr="0050107D">
        <w:rPr>
          <w:lang w:val="en-GB" w:eastAsia="en-GB"/>
        </w:rPr>
        <w:t xml:space="preserve">20 October 2007, which briefly describes the circumstances surrounding the disappearance of Mrs Vera </w:t>
      </w:r>
      <w:proofErr w:type="spellStart"/>
      <w:r w:rsidR="009462CF" w:rsidRPr="0050107D">
        <w:rPr>
          <w:lang w:val="en-GB" w:eastAsia="en-GB"/>
        </w:rPr>
        <w:t>Škripac</w:t>
      </w:r>
      <w:proofErr w:type="spellEnd"/>
      <w:r w:rsidR="009462CF" w:rsidRPr="0050107D">
        <w:rPr>
          <w:lang w:val="en-GB" w:eastAsia="en-GB"/>
        </w:rPr>
        <w:t xml:space="preserve"> as stated above. Under both the fields “date in” and “date updated”, the report states “13 August 2005</w:t>
      </w:r>
      <w:r w:rsidR="008E2CAC" w:rsidRPr="0050107D">
        <w:rPr>
          <w:lang w:val="en-GB" w:eastAsia="en-GB"/>
        </w:rPr>
        <w:t>”</w:t>
      </w:r>
      <w:r w:rsidR="000303E4">
        <w:rPr>
          <w:lang w:val="en-GB" w:eastAsia="en-GB"/>
        </w:rPr>
        <w:t>. In the field “status”</w:t>
      </w:r>
      <w:r w:rsidR="009462CF" w:rsidRPr="0050107D">
        <w:rPr>
          <w:lang w:val="en-GB" w:eastAsia="en-GB"/>
        </w:rPr>
        <w:t xml:space="preserve"> the report states “inactive”. </w:t>
      </w:r>
    </w:p>
    <w:p w:rsidR="009462CF" w:rsidRPr="0050107D" w:rsidRDefault="009462CF" w:rsidP="009462CF">
      <w:pPr>
        <w:widowControl w:val="0"/>
        <w:tabs>
          <w:tab w:val="left" w:pos="1080"/>
        </w:tabs>
        <w:contextualSpacing/>
        <w:jc w:val="both"/>
        <w:rPr>
          <w:lang w:val="en-GB" w:eastAsia="en-GB"/>
        </w:rPr>
      </w:pPr>
    </w:p>
    <w:p w:rsidR="006508E1" w:rsidRPr="0050107D" w:rsidRDefault="009462CF" w:rsidP="00BA1556">
      <w:pPr>
        <w:pStyle w:val="ListParagraph"/>
        <w:widowControl w:val="0"/>
        <w:numPr>
          <w:ilvl w:val="0"/>
          <w:numId w:val="2"/>
        </w:numPr>
        <w:tabs>
          <w:tab w:val="left" w:pos="360"/>
          <w:tab w:val="left" w:pos="1080"/>
        </w:tabs>
        <w:contextualSpacing/>
        <w:jc w:val="both"/>
        <w:rPr>
          <w:lang w:val="en-GB" w:eastAsia="en-GB"/>
        </w:rPr>
      </w:pPr>
      <w:r w:rsidRPr="0050107D">
        <w:rPr>
          <w:lang w:val="en-GB" w:eastAsia="en-GB"/>
        </w:rPr>
        <w:t>The last document in the WCIU file is a Case Analysis Report of the, prepared on 20 October 2007 and reviewed/approved on 25 October 2007, affixed with case no. 2005/00087. The report also states that on 12 September 199</w:t>
      </w:r>
      <w:r w:rsidR="008E2CAC" w:rsidRPr="0050107D">
        <w:rPr>
          <w:lang w:val="en-GB" w:eastAsia="en-GB"/>
        </w:rPr>
        <w:t>9</w:t>
      </w:r>
      <w:r w:rsidRPr="0050107D">
        <w:rPr>
          <w:lang w:val="en-GB" w:eastAsia="en-GB"/>
        </w:rPr>
        <w:t xml:space="preserve"> </w:t>
      </w:r>
      <w:r w:rsidR="00BE35E8" w:rsidRPr="0050107D">
        <w:rPr>
          <w:lang w:val="en-GB" w:eastAsia="en-GB"/>
        </w:rPr>
        <w:t xml:space="preserve">Mrs Vera </w:t>
      </w:r>
      <w:proofErr w:type="spellStart"/>
      <w:r w:rsidR="00BE35E8" w:rsidRPr="0050107D">
        <w:rPr>
          <w:lang w:val="en-GB" w:eastAsia="en-GB"/>
        </w:rPr>
        <w:t>Škripac</w:t>
      </w:r>
      <w:proofErr w:type="spellEnd"/>
      <w:r w:rsidR="00BE35E8" w:rsidRPr="0050107D">
        <w:rPr>
          <w:lang w:val="en-GB" w:eastAsia="en-GB"/>
        </w:rPr>
        <w:t xml:space="preserve"> was abducted in</w:t>
      </w:r>
      <w:r w:rsidRPr="0050107D">
        <w:rPr>
          <w:lang w:val="en-GB" w:eastAsia="en-GB"/>
        </w:rPr>
        <w:t xml:space="preserve"> the presence of </w:t>
      </w:r>
      <w:r w:rsidR="008E2CAC" w:rsidRPr="0050107D">
        <w:rPr>
          <w:lang w:val="en-GB" w:eastAsia="en-GB"/>
        </w:rPr>
        <w:t xml:space="preserve">Mr </w:t>
      </w:r>
      <w:r w:rsidRPr="0050107D">
        <w:rPr>
          <w:lang w:val="en-GB" w:eastAsia="en-GB"/>
        </w:rPr>
        <w:t xml:space="preserve">B.K., who was later released. In the field “brief description of evidence” the report states “no evidence in the file”. Under “Investigator recommendation/opinion”, the report states: “as the file lacks the witness statement I consider the case </w:t>
      </w:r>
      <w:proofErr w:type="spellStart"/>
      <w:r w:rsidRPr="0050107D">
        <w:rPr>
          <w:lang w:val="en-GB" w:eastAsia="en-GB"/>
        </w:rPr>
        <w:t>can not</w:t>
      </w:r>
      <w:proofErr w:type="spellEnd"/>
      <w:r w:rsidRPr="0050107D">
        <w:rPr>
          <w:lang w:val="en-GB" w:eastAsia="en-GB"/>
        </w:rPr>
        <w:t xml:space="preserve"> be closed without at least this piece of evidence. So I suggest that further investigation should be carried out </w:t>
      </w:r>
      <w:r w:rsidR="00712237" w:rsidRPr="0050107D">
        <w:rPr>
          <w:lang w:val="en-GB" w:eastAsia="en-GB"/>
        </w:rPr>
        <w:t>by KPS or International Police</w:t>
      </w:r>
      <w:r w:rsidR="000303E4">
        <w:rPr>
          <w:lang w:val="en-GB" w:eastAsia="en-GB"/>
        </w:rPr>
        <w:t>”</w:t>
      </w:r>
      <w:r w:rsidR="00712237" w:rsidRPr="0050107D">
        <w:rPr>
          <w:lang w:val="en-GB" w:eastAsia="en-GB"/>
        </w:rPr>
        <w:t>. A handwritten note at the bottom of the report states “re</w:t>
      </w:r>
      <w:r w:rsidR="00963A53" w:rsidRPr="0050107D">
        <w:rPr>
          <w:lang w:val="en-GB" w:eastAsia="en-GB"/>
        </w:rPr>
        <w:t>-</w:t>
      </w:r>
      <w:r w:rsidR="00712237" w:rsidRPr="0050107D">
        <w:rPr>
          <w:lang w:val="en-GB" w:eastAsia="en-GB"/>
        </w:rPr>
        <w:t xml:space="preserve">reviewed and considered INACTIVE [name of the police officer]. WAR CRIMES UNIT 21 Nov. 2007”. </w:t>
      </w:r>
    </w:p>
    <w:bookmarkEnd w:id="15"/>
    <w:bookmarkEnd w:id="16"/>
    <w:bookmarkEnd w:id="17"/>
    <w:bookmarkEnd w:id="18"/>
    <w:p w:rsidR="00874A40" w:rsidRDefault="00874A40" w:rsidP="007A5EE7">
      <w:pPr>
        <w:widowControl w:val="0"/>
        <w:tabs>
          <w:tab w:val="left" w:pos="360"/>
          <w:tab w:val="left" w:pos="1080"/>
        </w:tabs>
        <w:suppressAutoHyphens/>
        <w:contextualSpacing/>
        <w:jc w:val="both"/>
        <w:rPr>
          <w:lang w:eastAsia="en-GB"/>
        </w:rPr>
      </w:pPr>
    </w:p>
    <w:p w:rsidR="00E60ACB" w:rsidRPr="00B62920" w:rsidRDefault="00E60ACB" w:rsidP="007A5EE7">
      <w:pPr>
        <w:widowControl w:val="0"/>
        <w:tabs>
          <w:tab w:val="left" w:pos="360"/>
          <w:tab w:val="left" w:pos="1080"/>
        </w:tabs>
        <w:suppressAutoHyphens/>
        <w:contextualSpacing/>
        <w:jc w:val="both"/>
        <w:rPr>
          <w:lang w:eastAsia="en-GB"/>
        </w:rPr>
      </w:pPr>
    </w:p>
    <w:p w:rsidR="003E3F85" w:rsidRPr="00B62920" w:rsidRDefault="003E3F85" w:rsidP="003E3F85">
      <w:pPr>
        <w:numPr>
          <w:ilvl w:val="0"/>
          <w:numId w:val="1"/>
        </w:numPr>
        <w:suppressAutoHyphens/>
        <w:autoSpaceDE w:val="0"/>
        <w:ind w:left="360" w:hanging="360"/>
        <w:jc w:val="both"/>
        <w:rPr>
          <w:b/>
          <w:bCs/>
        </w:rPr>
      </w:pPr>
      <w:r w:rsidRPr="00B62920">
        <w:rPr>
          <w:b/>
          <w:bCs/>
          <w:lang w:val="en-GB"/>
        </w:rPr>
        <w:t>THE</w:t>
      </w:r>
      <w:r w:rsidRPr="00B62920">
        <w:rPr>
          <w:b/>
          <w:bCs/>
        </w:rPr>
        <w:t xml:space="preserve"> COMPLAINT</w:t>
      </w:r>
    </w:p>
    <w:p w:rsidR="003E3F85" w:rsidRPr="00B62920" w:rsidRDefault="003E3F85" w:rsidP="007A5EE7">
      <w:pPr>
        <w:tabs>
          <w:tab w:val="left" w:pos="357"/>
        </w:tabs>
        <w:autoSpaceDE w:val="0"/>
        <w:jc w:val="both"/>
        <w:rPr>
          <w:b/>
          <w:bCs/>
          <w:lang w:val="en-GB"/>
        </w:rPr>
      </w:pPr>
    </w:p>
    <w:p w:rsidR="003E3F85" w:rsidRPr="006F2695" w:rsidRDefault="003E3F85" w:rsidP="003E3F85">
      <w:pPr>
        <w:pStyle w:val="ListParagraph"/>
        <w:numPr>
          <w:ilvl w:val="0"/>
          <w:numId w:val="2"/>
        </w:numPr>
        <w:autoSpaceDE w:val="0"/>
        <w:jc w:val="both"/>
        <w:rPr>
          <w:b/>
          <w:bCs/>
          <w:lang w:val="en-GB"/>
        </w:rPr>
      </w:pPr>
      <w:r w:rsidRPr="006F2695">
        <w:rPr>
          <w:lang w:val="en-GB"/>
        </w:rPr>
        <w:t>The complainant complains about UNMIK’s alleged failure to properly investigate the</w:t>
      </w:r>
      <w:r w:rsidR="00622236" w:rsidRPr="006F2695">
        <w:rPr>
          <w:lang w:val="en-GB"/>
        </w:rPr>
        <w:t xml:space="preserve"> </w:t>
      </w:r>
      <w:r w:rsidR="00963A53" w:rsidRPr="006F2695">
        <w:rPr>
          <w:lang w:val="en-GB"/>
        </w:rPr>
        <w:t>abduction and disappearance</w:t>
      </w:r>
      <w:r w:rsidR="00600E12" w:rsidRPr="006F2695">
        <w:rPr>
          <w:lang w:val="en-GB"/>
        </w:rPr>
        <w:t xml:space="preserve"> </w:t>
      </w:r>
      <w:r w:rsidRPr="006F2695">
        <w:rPr>
          <w:lang w:val="en-GB"/>
        </w:rPr>
        <w:t xml:space="preserve">of </w:t>
      </w:r>
      <w:r w:rsidR="00963A53" w:rsidRPr="006F2695">
        <w:rPr>
          <w:lang w:val="en-GB" w:eastAsia="en-GB"/>
        </w:rPr>
        <w:t xml:space="preserve">Mrs Vera </w:t>
      </w:r>
      <w:proofErr w:type="spellStart"/>
      <w:r w:rsidR="00963A53" w:rsidRPr="006F2695">
        <w:rPr>
          <w:lang w:val="en-GB" w:eastAsia="en-GB"/>
        </w:rPr>
        <w:t>Škripac</w:t>
      </w:r>
      <w:proofErr w:type="spellEnd"/>
      <w:r w:rsidRPr="006F2695">
        <w:rPr>
          <w:lang w:val="en-GB"/>
        </w:rPr>
        <w:t>. In this regard, the Panel deems that the complainant invokes a violation of the procedural limb of Article 2 of the European Convention on Human Rights (ECHR).</w:t>
      </w:r>
    </w:p>
    <w:p w:rsidR="00991DCC" w:rsidRPr="006F2695" w:rsidRDefault="00991DCC" w:rsidP="00991DCC">
      <w:pPr>
        <w:pStyle w:val="ListParagraph"/>
        <w:autoSpaceDE w:val="0"/>
        <w:ind w:left="360"/>
        <w:jc w:val="both"/>
        <w:rPr>
          <w:b/>
          <w:bCs/>
          <w:lang w:val="en-GB"/>
        </w:rPr>
      </w:pPr>
    </w:p>
    <w:p w:rsidR="00991DCC" w:rsidRPr="006F2695" w:rsidRDefault="00991DCC" w:rsidP="00991DCC">
      <w:pPr>
        <w:pStyle w:val="Default"/>
        <w:numPr>
          <w:ilvl w:val="0"/>
          <w:numId w:val="2"/>
        </w:numPr>
        <w:jc w:val="both"/>
        <w:rPr>
          <w:lang w:val="en-GB"/>
        </w:rPr>
      </w:pPr>
      <w:r w:rsidRPr="006F2695">
        <w:rPr>
          <w:lang w:val="en-GB"/>
        </w:rPr>
        <w:t>The complainant also complains about the mental pain and s</w:t>
      </w:r>
      <w:r w:rsidR="008A0B27" w:rsidRPr="006F2695">
        <w:rPr>
          <w:lang w:val="en-GB"/>
        </w:rPr>
        <w:t xml:space="preserve">uffering allegedly caused </w:t>
      </w:r>
      <w:r w:rsidR="00440550" w:rsidRPr="006F2695">
        <w:rPr>
          <w:lang w:val="en-GB"/>
        </w:rPr>
        <w:t xml:space="preserve">to </w:t>
      </w:r>
      <w:r w:rsidR="00600E12" w:rsidRPr="006F2695">
        <w:rPr>
          <w:lang w:val="en-GB"/>
        </w:rPr>
        <w:t>him</w:t>
      </w:r>
      <w:r w:rsidRPr="006F2695">
        <w:rPr>
          <w:lang w:val="en-GB"/>
        </w:rPr>
        <w:t xml:space="preserve"> by this situation. In this regard, the Panel deems that the complainant relies on Article 3 of the ECHR. </w:t>
      </w:r>
    </w:p>
    <w:p w:rsidR="003E3F85" w:rsidRPr="00B62920" w:rsidRDefault="003E3F85" w:rsidP="003E3F85">
      <w:pPr>
        <w:autoSpaceDE w:val="0"/>
        <w:jc w:val="both"/>
        <w:rPr>
          <w:b/>
          <w:bCs/>
          <w:lang w:val="en-GB"/>
        </w:rPr>
      </w:pPr>
    </w:p>
    <w:p w:rsidR="003E3F85" w:rsidRPr="00B62920" w:rsidRDefault="003E3F85" w:rsidP="003E3F85">
      <w:pPr>
        <w:autoSpaceDE w:val="0"/>
        <w:jc w:val="both"/>
        <w:rPr>
          <w:b/>
          <w:bCs/>
          <w:lang w:val="en-GB"/>
        </w:rPr>
      </w:pPr>
    </w:p>
    <w:p w:rsidR="003E3F85" w:rsidRPr="00B62920" w:rsidRDefault="003E3F85" w:rsidP="003E3F85">
      <w:pPr>
        <w:numPr>
          <w:ilvl w:val="0"/>
          <w:numId w:val="1"/>
        </w:numPr>
        <w:suppressAutoHyphens/>
        <w:autoSpaceDE w:val="0"/>
        <w:ind w:left="360" w:hanging="360"/>
        <w:jc w:val="both"/>
        <w:rPr>
          <w:b/>
          <w:bCs/>
          <w:lang w:val="en-GB"/>
        </w:rPr>
      </w:pPr>
      <w:r w:rsidRPr="00B62920">
        <w:rPr>
          <w:b/>
          <w:bCs/>
          <w:lang w:val="en-GB"/>
        </w:rPr>
        <w:t>THE LAW</w:t>
      </w:r>
    </w:p>
    <w:p w:rsidR="003E3F85" w:rsidRPr="00B62920" w:rsidRDefault="003E3F85" w:rsidP="003E3F85">
      <w:pPr>
        <w:suppressAutoHyphens/>
        <w:autoSpaceDE w:val="0"/>
        <w:jc w:val="both"/>
        <w:rPr>
          <w:bCs/>
          <w:lang w:val="en-GB"/>
        </w:rPr>
      </w:pPr>
    </w:p>
    <w:p w:rsidR="003E3F85" w:rsidRPr="00B62920" w:rsidRDefault="003E3F85" w:rsidP="003E3F85">
      <w:pPr>
        <w:pStyle w:val="Default"/>
        <w:numPr>
          <w:ilvl w:val="0"/>
          <w:numId w:val="4"/>
        </w:numPr>
        <w:jc w:val="both"/>
        <w:rPr>
          <w:b/>
          <w:color w:val="auto"/>
          <w:lang w:val="en-GB"/>
        </w:rPr>
      </w:pPr>
      <w:r w:rsidRPr="00B62920">
        <w:rPr>
          <w:b/>
          <w:color w:val="auto"/>
          <w:lang w:val="en-GB"/>
        </w:rPr>
        <w:t>Alleged violation of the procedural obligation under</w:t>
      </w:r>
      <w:r w:rsidRPr="00B62920">
        <w:rPr>
          <w:b/>
          <w:i/>
          <w:color w:val="auto"/>
          <w:lang w:val="en-GB"/>
        </w:rPr>
        <w:t xml:space="preserve"> </w:t>
      </w:r>
      <w:r w:rsidRPr="00B62920">
        <w:rPr>
          <w:b/>
          <w:color w:val="auto"/>
          <w:lang w:val="en-GB"/>
        </w:rPr>
        <w:t xml:space="preserve">Article 2 of the ECHR </w:t>
      </w:r>
    </w:p>
    <w:p w:rsidR="003E3F85" w:rsidRPr="00B62920" w:rsidRDefault="003E3F85" w:rsidP="003E3F85">
      <w:pPr>
        <w:tabs>
          <w:tab w:val="left" w:pos="630"/>
          <w:tab w:val="left" w:pos="2790"/>
        </w:tabs>
        <w:suppressAutoHyphens/>
        <w:autoSpaceDE w:val="0"/>
        <w:jc w:val="both"/>
        <w:rPr>
          <w:bCs/>
          <w:lang w:val="en-GB"/>
        </w:rPr>
      </w:pPr>
    </w:p>
    <w:p w:rsidR="003E3F85" w:rsidRPr="00B62920" w:rsidRDefault="003E3F85" w:rsidP="003E3F85">
      <w:pPr>
        <w:pStyle w:val="ListParagraph"/>
        <w:numPr>
          <w:ilvl w:val="1"/>
          <w:numId w:val="1"/>
        </w:numPr>
        <w:tabs>
          <w:tab w:val="clear" w:pos="360"/>
          <w:tab w:val="left" w:pos="357"/>
        </w:tabs>
        <w:autoSpaceDE w:val="0"/>
        <w:contextualSpacing/>
        <w:jc w:val="both"/>
        <w:rPr>
          <w:b/>
          <w:bCs/>
          <w:lang w:val="en-GB"/>
        </w:rPr>
      </w:pPr>
      <w:r w:rsidRPr="00B62920">
        <w:rPr>
          <w:b/>
          <w:bCs/>
          <w:lang w:val="en-GB"/>
        </w:rPr>
        <w:t>The scope of the Panel’s review</w:t>
      </w:r>
    </w:p>
    <w:p w:rsidR="003E3F85" w:rsidRPr="00B62920" w:rsidRDefault="003E3F85" w:rsidP="003E3F85">
      <w:pPr>
        <w:suppressAutoHyphens/>
        <w:autoSpaceDE w:val="0"/>
        <w:jc w:val="both"/>
        <w:rPr>
          <w:bCs/>
          <w:lang w:val="en-GB"/>
        </w:rPr>
      </w:pPr>
    </w:p>
    <w:p w:rsidR="003E3F85" w:rsidRPr="00B62920" w:rsidRDefault="003E3F85" w:rsidP="003E3F85">
      <w:pPr>
        <w:pStyle w:val="ListParagraph"/>
        <w:numPr>
          <w:ilvl w:val="0"/>
          <w:numId w:val="2"/>
        </w:numPr>
        <w:autoSpaceDE w:val="0"/>
        <w:jc w:val="both"/>
        <w:rPr>
          <w:bCs/>
          <w:lang w:val="en-GB"/>
        </w:rPr>
      </w:pPr>
      <w:bookmarkStart w:id="19" w:name="_Ref409020267"/>
      <w:r w:rsidRPr="00B62920">
        <w:rPr>
          <w:bCs/>
          <w:lang w:val="en-GB"/>
        </w:rPr>
        <w:t>Before turning to the examination of the merits of the complaint, the Panel needs to clarify the scope of its review.</w:t>
      </w:r>
      <w:bookmarkEnd w:id="19"/>
    </w:p>
    <w:p w:rsidR="003E3F85" w:rsidRPr="00B62920" w:rsidRDefault="003E3F85" w:rsidP="003E3F85">
      <w:pPr>
        <w:autoSpaceDE w:val="0"/>
        <w:jc w:val="both"/>
        <w:rPr>
          <w:bCs/>
          <w:lang w:val="en-GB"/>
        </w:rPr>
      </w:pPr>
    </w:p>
    <w:p w:rsidR="003E3F85" w:rsidRPr="00B62920" w:rsidRDefault="003E3F85" w:rsidP="003E3F85">
      <w:pPr>
        <w:pStyle w:val="ListParagraph"/>
        <w:numPr>
          <w:ilvl w:val="0"/>
          <w:numId w:val="2"/>
        </w:numPr>
        <w:autoSpaceDE w:val="0"/>
        <w:jc w:val="both"/>
        <w:rPr>
          <w:lang w:val="en-GB"/>
        </w:rPr>
      </w:pPr>
      <w:bookmarkStart w:id="20" w:name="_Ref366160496"/>
      <w:r w:rsidRPr="00B62920">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0"/>
      <w:r w:rsidRPr="00B62920">
        <w:rPr>
          <w:lang w:val="en-GB"/>
        </w:rPr>
        <w:t xml:space="preserve"> </w:t>
      </w:r>
    </w:p>
    <w:p w:rsidR="003E3F85" w:rsidRPr="00B62920" w:rsidRDefault="003E3F85" w:rsidP="003E3F85">
      <w:pPr>
        <w:tabs>
          <w:tab w:val="left" w:pos="360"/>
        </w:tabs>
        <w:autoSpaceDE w:val="0"/>
        <w:ind w:left="360" w:hanging="360"/>
        <w:jc w:val="both"/>
        <w:rPr>
          <w:bCs/>
          <w:lang w:val="en-GB"/>
        </w:rPr>
      </w:pPr>
    </w:p>
    <w:p w:rsidR="003E3F85" w:rsidRPr="00B62920" w:rsidRDefault="003E3F85" w:rsidP="003E3F85">
      <w:pPr>
        <w:numPr>
          <w:ilvl w:val="0"/>
          <w:numId w:val="2"/>
        </w:numPr>
        <w:suppressAutoHyphens/>
        <w:autoSpaceDE w:val="0"/>
        <w:jc w:val="both"/>
        <w:rPr>
          <w:lang w:val="en-GB"/>
        </w:rPr>
      </w:pPr>
      <w:bookmarkStart w:id="21" w:name="_Ref347321462"/>
      <w:bookmarkStart w:id="22" w:name="_Ref317418022"/>
      <w:r w:rsidRPr="00B62920">
        <w:rPr>
          <w:lang w:val="en-GB" w:eastAsia="nl-BE"/>
        </w:rPr>
        <w:t xml:space="preserve">The </w:t>
      </w:r>
      <w:r w:rsidRPr="00B62920">
        <w:rPr>
          <w:bCs/>
          <w:lang w:val="en-GB"/>
        </w:rPr>
        <w:t>Panel</w:t>
      </w:r>
      <w:r w:rsidRPr="00B62920">
        <w:rPr>
          <w:lang w:val="en-GB" w:eastAsia="nl-BE"/>
        </w:rPr>
        <w:t xml:space="preserve"> notes that with the adoption of the UNMIK Regulation No. 1999/1 on 25 July 1999 UNMIK undertook an obligation to observe internationally recognised human </w:t>
      </w:r>
      <w:r w:rsidRPr="00B62920">
        <w:rPr>
          <w:bCs/>
          <w:lang w:val="en-GB"/>
        </w:rPr>
        <w:t>rights</w:t>
      </w:r>
      <w:r w:rsidRPr="00B62920">
        <w:rPr>
          <w:lang w:val="en-GB" w:eastAsia="nl-BE"/>
        </w:rPr>
        <w:t xml:space="preserve"> standards in exercising its functions. This undertaking was detailed  in UNMIK Regulation No. 1999/24 of 12 December 1999, by which UNMIK assumed obligations under the following human rights instruments</w:t>
      </w:r>
      <w:r w:rsidRPr="00B62920">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B62920">
          <w:rPr>
            <w:rStyle w:val="Hyperlink"/>
            <w:color w:val="auto"/>
            <w:u w:val="none"/>
            <w:lang w:val="en-GB"/>
          </w:rPr>
          <w:t>the Convention Against Torture and Other Cruel, Inhuman or Degrading Treatment or Punishment</w:t>
        </w:r>
      </w:hyperlink>
      <w:r w:rsidRPr="00B62920">
        <w:rPr>
          <w:lang w:val="en-GB"/>
        </w:rPr>
        <w:t>, the Convention on the Rights of the Child.</w:t>
      </w:r>
      <w:bookmarkEnd w:id="21"/>
    </w:p>
    <w:p w:rsidR="003E3F85" w:rsidRPr="00B62920" w:rsidRDefault="003E3F85" w:rsidP="003E3F85">
      <w:pPr>
        <w:tabs>
          <w:tab w:val="left" w:pos="360"/>
        </w:tabs>
        <w:suppressAutoHyphens/>
        <w:autoSpaceDE w:val="0"/>
        <w:ind w:left="360" w:hanging="360"/>
        <w:jc w:val="both"/>
        <w:rPr>
          <w:lang w:val="en-GB"/>
        </w:rPr>
      </w:pPr>
      <w:bookmarkStart w:id="23" w:name="_Ref317493050"/>
    </w:p>
    <w:p w:rsidR="003E3F85" w:rsidRPr="00B62920" w:rsidRDefault="003E3F85" w:rsidP="003E3F85">
      <w:pPr>
        <w:numPr>
          <w:ilvl w:val="0"/>
          <w:numId w:val="2"/>
        </w:numPr>
        <w:suppressAutoHyphens/>
        <w:autoSpaceDE w:val="0"/>
        <w:jc w:val="both"/>
        <w:rPr>
          <w:lang w:val="en-GB"/>
        </w:rPr>
      </w:pPr>
      <w:bookmarkStart w:id="24" w:name="_Ref347495661"/>
      <w:r w:rsidRPr="00B62920">
        <w:rPr>
          <w:rFonts w:cs="CAGLHH+TimesNewRoman"/>
          <w:lang w:val="en-GB"/>
        </w:rPr>
        <w:t xml:space="preserve">The Panel also notes that Section 1.2 of </w:t>
      </w:r>
      <w:r w:rsidRPr="00B62920">
        <w:rPr>
          <w:bCs/>
          <w:lang w:val="en-GB"/>
        </w:rPr>
        <w:t xml:space="preserve">UNMIK Regulation No. 2006/12 of 23 March 2006 on the Establishment of the Human Rights Advisory Panel </w:t>
      </w:r>
      <w:r w:rsidRPr="00B62920">
        <w:rPr>
          <w:rFonts w:cs="CAGLHH+TimesNewRoman"/>
          <w:lang w:val="en-GB"/>
        </w:rPr>
        <w:t xml:space="preserve">provides that the Panel “shall examine complaints from any person or group of individuals claiming to be the victim of a violation by UNMIK of (their) human rights”. It </w:t>
      </w:r>
      <w:r w:rsidRPr="00B62920">
        <w:rPr>
          <w:bCs/>
          <w:lang w:val="en-GB"/>
        </w:rPr>
        <w:t>follows</w:t>
      </w:r>
      <w:r w:rsidRPr="00B62920">
        <w:rPr>
          <w:rFonts w:cs="CAGLHH+TimesNewRoman"/>
          <w:lang w:val="en-GB"/>
        </w:rPr>
        <w:t xml:space="preserve"> that only acts or omissions attributable to UNMIK fall within the jurisdiction </w:t>
      </w:r>
      <w:r w:rsidRPr="00B62920">
        <w:rPr>
          <w:rFonts w:cs="CAGLHH+TimesNewRoman"/>
          <w:i/>
          <w:lang w:val="en-GB"/>
        </w:rPr>
        <w:t>ratione personae</w:t>
      </w:r>
      <w:r w:rsidRPr="00B62920">
        <w:rPr>
          <w:rFonts w:cs="CAGLHH+TimesNewRoman"/>
          <w:lang w:val="en-GB"/>
        </w:rPr>
        <w:t xml:space="preserve"> of the Panel. In this respect, it should be noted, as stated above, that as of </w:t>
      </w:r>
      <w:r w:rsidRPr="00B62920">
        <w:rPr>
          <w:lang w:val="en-GB"/>
        </w:rPr>
        <w:t xml:space="preserve">9 December 2008, UNMIK </w:t>
      </w:r>
      <w:r w:rsidRPr="00B62920">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B62920">
        <w:rPr>
          <w:bCs/>
          <w:i/>
          <w:lang w:val="en-GB"/>
        </w:rPr>
        <w:t>ratione personae</w:t>
      </w:r>
      <w:r w:rsidRPr="00B62920">
        <w:rPr>
          <w:bCs/>
          <w:lang w:val="en-GB"/>
        </w:rPr>
        <w:t xml:space="preserve"> of the Panel.</w:t>
      </w:r>
      <w:bookmarkEnd w:id="23"/>
      <w:bookmarkEnd w:id="24"/>
    </w:p>
    <w:p w:rsidR="003E3F85" w:rsidRPr="00B62920" w:rsidRDefault="003E3F85" w:rsidP="003E3F85">
      <w:pPr>
        <w:pStyle w:val="ListParagraph"/>
        <w:tabs>
          <w:tab w:val="left" w:pos="360"/>
        </w:tabs>
        <w:ind w:left="360" w:hanging="360"/>
        <w:rPr>
          <w:lang w:val="en-GB"/>
        </w:rPr>
      </w:pPr>
    </w:p>
    <w:p w:rsidR="003E3F85" w:rsidRPr="00B62920" w:rsidRDefault="003E3F85" w:rsidP="003E3F85">
      <w:pPr>
        <w:numPr>
          <w:ilvl w:val="0"/>
          <w:numId w:val="2"/>
        </w:numPr>
        <w:suppressAutoHyphens/>
        <w:autoSpaceDE w:val="0"/>
        <w:jc w:val="both"/>
        <w:rPr>
          <w:bCs/>
          <w:lang w:val="en-GB"/>
        </w:rPr>
      </w:pPr>
      <w:bookmarkStart w:id="25" w:name="_Ref409020276"/>
      <w:r w:rsidRPr="00B62920">
        <w:rPr>
          <w:rFonts w:cs="CAGLHH+TimesNewRoman"/>
          <w:lang w:val="en-GB"/>
        </w:rPr>
        <w:t xml:space="preserve">Likewise, the Panel emphasises that, as far as its jurisdiction </w:t>
      </w:r>
      <w:proofErr w:type="spellStart"/>
      <w:r w:rsidRPr="00B62920">
        <w:rPr>
          <w:rFonts w:cs="CAGLHH+TimesNewRoman"/>
          <w:i/>
          <w:lang w:val="en-GB"/>
        </w:rPr>
        <w:t>ratione</w:t>
      </w:r>
      <w:proofErr w:type="spellEnd"/>
      <w:r w:rsidRPr="00B62920">
        <w:rPr>
          <w:rFonts w:cs="CAGLHH+TimesNewRoman"/>
          <w:i/>
          <w:lang w:val="en-GB"/>
        </w:rPr>
        <w:t xml:space="preserve"> </w:t>
      </w:r>
      <w:proofErr w:type="spellStart"/>
      <w:r w:rsidRPr="00B62920">
        <w:rPr>
          <w:rFonts w:cs="CAGLHH+TimesNewRoman"/>
          <w:i/>
          <w:lang w:val="en-GB"/>
        </w:rPr>
        <w:t>materiae</w:t>
      </w:r>
      <w:proofErr w:type="spellEnd"/>
      <w:r w:rsidRPr="00B62920">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B62920">
        <w:fldChar w:fldCharType="begin"/>
      </w:r>
      <w:r w:rsidRPr="00B62920">
        <w:instrText xml:space="preserve"> REF _Ref347321462 \r \h  \* MERGEFORMAT </w:instrText>
      </w:r>
      <w:r w:rsidRPr="00B62920">
        <w:fldChar w:fldCharType="separate"/>
      </w:r>
      <w:r w:rsidR="00C60385" w:rsidRPr="00C60385">
        <w:rPr>
          <w:rFonts w:cs="CAGLHH+TimesNewRoman"/>
          <w:lang w:val="en-GB"/>
        </w:rPr>
        <w:t>44</w:t>
      </w:r>
      <w:r w:rsidRPr="00B62920">
        <w:fldChar w:fldCharType="end"/>
      </w:r>
      <w:r w:rsidRPr="00B62920">
        <w:rPr>
          <w:rFonts w:cs="CAGLHH+TimesNewRoman"/>
          <w:lang w:val="en-GB"/>
        </w:rPr>
        <w:t>).</w:t>
      </w:r>
      <w:r w:rsidRPr="00B62920">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25"/>
    </w:p>
    <w:p w:rsidR="003E3F85" w:rsidRPr="00B62920" w:rsidRDefault="003E3F85" w:rsidP="003E3F85">
      <w:pPr>
        <w:pStyle w:val="ListParagraph"/>
        <w:tabs>
          <w:tab w:val="left" w:pos="360"/>
        </w:tabs>
        <w:ind w:left="360" w:hanging="360"/>
        <w:rPr>
          <w:bCs/>
          <w:lang w:val="en-GB"/>
        </w:rPr>
      </w:pPr>
    </w:p>
    <w:p w:rsidR="003E3F85" w:rsidRPr="00B62920" w:rsidRDefault="003E3F85" w:rsidP="003E3F85">
      <w:pPr>
        <w:numPr>
          <w:ilvl w:val="0"/>
          <w:numId w:val="2"/>
        </w:numPr>
        <w:tabs>
          <w:tab w:val="left" w:pos="630"/>
          <w:tab w:val="left" w:pos="2790"/>
        </w:tabs>
        <w:suppressAutoHyphens/>
        <w:autoSpaceDE w:val="0"/>
        <w:jc w:val="both"/>
        <w:rPr>
          <w:bCs/>
          <w:lang w:val="en-GB"/>
        </w:rPr>
      </w:pPr>
      <w:bookmarkStart w:id="26" w:name="_Ref346123885"/>
      <w:r w:rsidRPr="00B62920">
        <w:rPr>
          <w:bCs/>
          <w:lang w:val="en-GB"/>
        </w:rPr>
        <w:t>The Panel further notes that Section 2 of UNMIK Regulation No. 2006/12 provides that t</w:t>
      </w:r>
      <w:r w:rsidRPr="00B62920">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B62920">
        <w:rPr>
          <w:rFonts w:cs="CAGLHH+TimesNewRoman"/>
          <w:i/>
          <w:lang w:val="en-GB"/>
        </w:rPr>
        <w:t>ratione temporis</w:t>
      </w:r>
      <w:r w:rsidRPr="00B62920">
        <w:rPr>
          <w:rFonts w:cs="CAGLHH+TimesNewRoman"/>
          <w:lang w:val="en-GB"/>
        </w:rPr>
        <w:t xml:space="preserve"> of the Panel. However, to the extent that such events gave rise to a continuing situation, the Panel has jurisdiction to examine complaints relating to that situation</w:t>
      </w:r>
      <w:bookmarkEnd w:id="22"/>
      <w:r w:rsidRPr="00B62920">
        <w:rPr>
          <w:rFonts w:cs="CAGLHH+TimesNewRoman"/>
          <w:lang w:val="en-GB"/>
        </w:rPr>
        <w:t xml:space="preserve"> (see European Court of Human Rights (ECtHR), Grand Chamber [GC], </w:t>
      </w:r>
      <w:proofErr w:type="spellStart"/>
      <w:r w:rsidRPr="00B62920">
        <w:rPr>
          <w:rFonts w:cs="CAGLHH+TimesNewRoman"/>
          <w:i/>
          <w:lang w:val="en-GB"/>
        </w:rPr>
        <w:t>Varnava</w:t>
      </w:r>
      <w:proofErr w:type="spellEnd"/>
      <w:r w:rsidRPr="00B62920">
        <w:rPr>
          <w:rFonts w:cs="CAGLHH+TimesNewRoman"/>
          <w:i/>
          <w:lang w:val="en-GB"/>
        </w:rPr>
        <w:t xml:space="preserve"> and Others v. Turkey</w:t>
      </w:r>
      <w:r w:rsidRPr="00B62920">
        <w:rPr>
          <w:rFonts w:cs="CAGLHH+TimesNewRoman"/>
          <w:lang w:val="en-GB"/>
        </w:rPr>
        <w:t xml:space="preserve">, nos. 16064/90 and others, judgment of 18 September 2009, §§ 147-149; ECtHR, </w:t>
      </w:r>
      <w:r w:rsidRPr="00B62920">
        <w:rPr>
          <w:rFonts w:cs="CAGLHH+TimesNewRoman"/>
          <w:i/>
          <w:lang w:val="en-GB"/>
        </w:rPr>
        <w:t xml:space="preserve">Cyprus v. Turkey </w:t>
      </w:r>
      <w:r w:rsidRPr="00B62920">
        <w:rPr>
          <w:rFonts w:cs="CAGLHH+TimesNewRoman"/>
          <w:lang w:val="en-GB"/>
        </w:rPr>
        <w:t xml:space="preserve">[GC] no. </w:t>
      </w:r>
      <w:r w:rsidRPr="00B62920">
        <w:rPr>
          <w:rStyle w:val="s85f22697"/>
          <w:lang w:val="en-GB"/>
        </w:rPr>
        <w:t>25781/94, judgment of 10 May 2001,</w:t>
      </w:r>
      <w:r w:rsidRPr="00B62920">
        <w:rPr>
          <w:rFonts w:cs="CAGLHH+TimesNewRoman"/>
          <w:lang w:val="en-GB"/>
        </w:rPr>
        <w:t xml:space="preserve"> § 136, ECHR 2001-IV).</w:t>
      </w:r>
      <w:bookmarkEnd w:id="26"/>
      <w:r w:rsidRPr="00B62920">
        <w:rPr>
          <w:rFonts w:cs="CAGLHH+TimesNewRoman"/>
          <w:lang w:val="en-GB"/>
        </w:rPr>
        <w:t xml:space="preserve"> </w:t>
      </w:r>
    </w:p>
    <w:p w:rsidR="003E3F85" w:rsidRPr="00B62920" w:rsidRDefault="003E3F85" w:rsidP="003E3F85">
      <w:pPr>
        <w:jc w:val="both"/>
        <w:rPr>
          <w:lang w:val="en-GB"/>
        </w:rPr>
      </w:pPr>
    </w:p>
    <w:p w:rsidR="003E3F85" w:rsidRPr="00B62920" w:rsidRDefault="003E3F85" w:rsidP="003E3F85">
      <w:pPr>
        <w:pStyle w:val="ListParagraph"/>
        <w:numPr>
          <w:ilvl w:val="1"/>
          <w:numId w:val="1"/>
        </w:numPr>
        <w:tabs>
          <w:tab w:val="clear" w:pos="360"/>
          <w:tab w:val="left" w:pos="357"/>
        </w:tabs>
        <w:autoSpaceDE w:val="0"/>
        <w:contextualSpacing/>
        <w:jc w:val="both"/>
        <w:rPr>
          <w:b/>
          <w:bCs/>
          <w:lang w:val="en-GB"/>
        </w:rPr>
      </w:pPr>
      <w:r w:rsidRPr="00B62920">
        <w:rPr>
          <w:b/>
          <w:bCs/>
          <w:lang w:val="en-GB"/>
        </w:rPr>
        <w:t xml:space="preserve">The Parties’ submissions </w:t>
      </w:r>
    </w:p>
    <w:p w:rsidR="003E3F85" w:rsidRPr="00B62920" w:rsidRDefault="003E3F85" w:rsidP="003E3F85">
      <w:pPr>
        <w:rPr>
          <w:b/>
          <w:lang w:val="en-GB"/>
        </w:rPr>
      </w:pPr>
    </w:p>
    <w:p w:rsidR="003E3F85" w:rsidRPr="004058E4" w:rsidRDefault="003E3F85" w:rsidP="008A0B27">
      <w:pPr>
        <w:numPr>
          <w:ilvl w:val="0"/>
          <w:numId w:val="2"/>
        </w:numPr>
        <w:suppressAutoHyphens/>
        <w:autoSpaceDE w:val="0"/>
        <w:rPr>
          <w:lang w:val="en-GB"/>
        </w:rPr>
      </w:pPr>
      <w:r w:rsidRPr="004058E4">
        <w:rPr>
          <w:lang w:val="en-GB"/>
        </w:rPr>
        <w:t>The complainant in substance alleges a violation concerning the lack of an adequate criminal investigation into</w:t>
      </w:r>
      <w:r w:rsidR="002948A6" w:rsidRPr="004058E4">
        <w:rPr>
          <w:lang w:val="en-GB"/>
        </w:rPr>
        <w:t xml:space="preserve"> the</w:t>
      </w:r>
      <w:r w:rsidR="00991DCC" w:rsidRPr="004058E4">
        <w:rPr>
          <w:lang w:val="en-GB"/>
        </w:rPr>
        <w:t xml:space="preserve"> </w:t>
      </w:r>
      <w:r w:rsidR="003B7E8B" w:rsidRPr="004058E4">
        <w:rPr>
          <w:lang w:val="en-GB"/>
        </w:rPr>
        <w:t xml:space="preserve">abduction and disappearance </w:t>
      </w:r>
      <w:r w:rsidR="008A0B27" w:rsidRPr="004058E4">
        <w:rPr>
          <w:lang w:val="en-GB"/>
        </w:rPr>
        <w:t xml:space="preserve">of </w:t>
      </w:r>
      <w:proofErr w:type="spellStart"/>
      <w:r w:rsidR="00440550" w:rsidRPr="004058E4">
        <w:t>Mr</w:t>
      </w:r>
      <w:r w:rsidR="003B7E8B" w:rsidRPr="004058E4">
        <w:t>s</w:t>
      </w:r>
      <w:proofErr w:type="spellEnd"/>
      <w:r w:rsidR="00440550" w:rsidRPr="004058E4">
        <w:t xml:space="preserve"> </w:t>
      </w:r>
      <w:r w:rsidR="003B7E8B" w:rsidRPr="004058E4">
        <w:rPr>
          <w:lang w:val="en-GB" w:eastAsia="en-GB"/>
        </w:rPr>
        <w:t xml:space="preserve">Vera </w:t>
      </w:r>
      <w:proofErr w:type="spellStart"/>
      <w:r w:rsidR="003B7E8B" w:rsidRPr="004058E4">
        <w:rPr>
          <w:lang w:val="en-GB" w:eastAsia="en-GB"/>
        </w:rPr>
        <w:t>Škripac</w:t>
      </w:r>
      <w:proofErr w:type="spellEnd"/>
      <w:r w:rsidR="00991DCC" w:rsidRPr="004058E4">
        <w:t>.</w:t>
      </w:r>
    </w:p>
    <w:p w:rsidR="00964F0D" w:rsidRPr="004058E4" w:rsidRDefault="00964F0D" w:rsidP="00964F0D">
      <w:pPr>
        <w:suppressAutoHyphens/>
        <w:autoSpaceDE w:val="0"/>
        <w:ind w:left="360"/>
        <w:rPr>
          <w:lang w:val="en-GB"/>
        </w:rPr>
      </w:pPr>
    </w:p>
    <w:p w:rsidR="00964F0D" w:rsidRPr="004058E4" w:rsidRDefault="00964F0D" w:rsidP="00964F0D">
      <w:pPr>
        <w:numPr>
          <w:ilvl w:val="0"/>
          <w:numId w:val="2"/>
        </w:numPr>
        <w:suppressAutoHyphens/>
        <w:autoSpaceDE w:val="0"/>
        <w:jc w:val="both"/>
        <w:rPr>
          <w:lang w:val="en-GB"/>
        </w:rPr>
      </w:pPr>
      <w:r w:rsidRPr="004058E4">
        <w:rPr>
          <w:lang w:val="en-GB"/>
        </w:rPr>
        <w:t xml:space="preserve">The SRSG generally accepts that the abduction and disappearance of </w:t>
      </w:r>
      <w:proofErr w:type="spellStart"/>
      <w:r w:rsidRPr="004058E4">
        <w:t>Mrs</w:t>
      </w:r>
      <w:proofErr w:type="spellEnd"/>
      <w:r w:rsidRPr="004058E4">
        <w:t xml:space="preserve"> </w:t>
      </w:r>
      <w:r w:rsidRPr="004058E4">
        <w:rPr>
          <w:lang w:val="en-GB" w:eastAsia="en-GB"/>
        </w:rPr>
        <w:t xml:space="preserve">Vera </w:t>
      </w:r>
      <w:proofErr w:type="spellStart"/>
      <w:r w:rsidRPr="004058E4">
        <w:rPr>
          <w:lang w:val="en-GB" w:eastAsia="en-GB"/>
        </w:rPr>
        <w:t>Škripac</w:t>
      </w:r>
      <w:proofErr w:type="spellEnd"/>
      <w:r w:rsidR="008A69C4" w:rsidRPr="004058E4">
        <w:t xml:space="preserve"> </w:t>
      </w:r>
      <w:r w:rsidRPr="004058E4">
        <w:rPr>
          <w:lang w:val="en-GB"/>
        </w:rPr>
        <w:t xml:space="preserve">occurred in life threatening circumstances. The SRSG states that in June1999, shortly after the arrival of KFOR and UNMIK in Kosovo, the security situation was “tense, with a number of serious criminal incidents targeting Kosovo-Serbs and Kosovo-Albanians, including abductions and killings”. Citing the UN Secretary-General’s report to the United Nations Security Council of 12 July 1999, the SRSG describes the situation as follows: </w:t>
      </w:r>
    </w:p>
    <w:p w:rsidR="00964F0D" w:rsidRPr="004058E4" w:rsidRDefault="00964F0D" w:rsidP="00964F0D">
      <w:pPr>
        <w:suppressAutoHyphens/>
        <w:autoSpaceDE w:val="0"/>
        <w:ind w:left="360"/>
        <w:rPr>
          <w:lang w:val="en-GB"/>
        </w:rPr>
      </w:pPr>
    </w:p>
    <w:p w:rsidR="00964F0D" w:rsidRPr="004058E4" w:rsidRDefault="00964F0D" w:rsidP="00964F0D">
      <w:pPr>
        <w:suppressAutoHyphens/>
        <w:autoSpaceDE w:val="0"/>
        <w:ind w:left="720"/>
        <w:jc w:val="both"/>
        <w:rPr>
          <w:lang w:val="en-GB"/>
        </w:rPr>
      </w:pPr>
      <w:r w:rsidRPr="004058E4">
        <w:rPr>
          <w:lang w:val="en-GB"/>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w:t>
      </w:r>
      <w:proofErr w:type="spellStart"/>
      <w:r w:rsidRPr="004058E4">
        <w:rPr>
          <w:lang w:val="en-GB"/>
        </w:rPr>
        <w:t>Prizren</w:t>
      </w:r>
      <w:proofErr w:type="spellEnd"/>
      <w:r w:rsidRPr="004058E4">
        <w:rPr>
          <w:lang w:val="en-GB"/>
        </w:rPr>
        <w:t xml:space="preserve"> and Pec are practically deserted by Kosovo Serbs, and the towns of </w:t>
      </w:r>
      <w:proofErr w:type="spellStart"/>
      <w:r w:rsidRPr="004058E4">
        <w:rPr>
          <w:lang w:val="en-GB"/>
        </w:rPr>
        <w:t>Mitrovica</w:t>
      </w:r>
      <w:proofErr w:type="spellEnd"/>
      <w:r w:rsidRPr="004058E4">
        <w:rPr>
          <w:lang w:val="en-GB"/>
        </w:rPr>
        <w:t xml:space="preserve"> and </w:t>
      </w:r>
      <w:proofErr w:type="spellStart"/>
      <w:r w:rsidRPr="004058E4">
        <w:rPr>
          <w:lang w:val="en-GB"/>
        </w:rPr>
        <w:t>Orahovac</w:t>
      </w:r>
      <w:proofErr w:type="spellEnd"/>
      <w:r w:rsidRPr="004058E4">
        <w:rPr>
          <w:lang w:val="en-GB"/>
        </w:rPr>
        <w:t xml:space="preserve"> are divided along ethnic lines. </w:t>
      </w:r>
    </w:p>
    <w:p w:rsidR="00964F0D" w:rsidRPr="004058E4" w:rsidRDefault="00964F0D" w:rsidP="00964F0D">
      <w:pPr>
        <w:suppressAutoHyphens/>
        <w:autoSpaceDE w:val="0"/>
        <w:ind w:left="720"/>
        <w:jc w:val="both"/>
        <w:rPr>
          <w:lang w:val="en-GB"/>
        </w:rPr>
      </w:pPr>
    </w:p>
    <w:p w:rsidR="00964F0D" w:rsidRPr="004058E4" w:rsidRDefault="00964F0D" w:rsidP="00964F0D">
      <w:pPr>
        <w:suppressAutoHyphens/>
        <w:autoSpaceDE w:val="0"/>
        <w:ind w:left="720"/>
        <w:jc w:val="both"/>
        <w:rPr>
          <w:lang w:val="en-GB"/>
        </w:rPr>
      </w:pPr>
      <w:r w:rsidRPr="004058E4">
        <w:rPr>
          <w:lang w:val="en-GB"/>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2948A6" w:rsidRPr="004058E4" w:rsidRDefault="002948A6" w:rsidP="00CE153E">
      <w:pPr>
        <w:suppressAutoHyphens/>
        <w:autoSpaceDE w:val="0"/>
        <w:jc w:val="both"/>
        <w:rPr>
          <w:lang w:val="en-GB"/>
        </w:rPr>
      </w:pPr>
    </w:p>
    <w:p w:rsidR="003E3F85" w:rsidRPr="004058E4" w:rsidRDefault="003E3F85" w:rsidP="003E3F85">
      <w:pPr>
        <w:numPr>
          <w:ilvl w:val="0"/>
          <w:numId w:val="2"/>
        </w:numPr>
        <w:suppressAutoHyphens/>
        <w:autoSpaceDE w:val="0"/>
        <w:jc w:val="both"/>
        <w:rPr>
          <w:bCs/>
          <w:lang w:val="en-GB"/>
        </w:rPr>
      </w:pPr>
      <w:r w:rsidRPr="004058E4">
        <w:rPr>
          <w:bCs/>
          <w:lang w:val="en-GB"/>
        </w:rPr>
        <w:t xml:space="preserve">In his comments on the merits of the complaint, the SRSG </w:t>
      </w:r>
      <w:r w:rsidRPr="004058E4">
        <w:rPr>
          <w:lang w:val="en-GB"/>
        </w:rPr>
        <w:t xml:space="preserve">does not dispute </w:t>
      </w:r>
      <w:r w:rsidRPr="004058E4">
        <w:rPr>
          <w:bCs/>
          <w:lang w:val="en-GB"/>
        </w:rPr>
        <w:t xml:space="preserve">that UNMIK had a responsibility to conduct an effective investigation into </w:t>
      </w:r>
      <w:r w:rsidR="00991DCC" w:rsidRPr="004058E4">
        <w:rPr>
          <w:lang w:val="en-GB"/>
        </w:rPr>
        <w:t xml:space="preserve">the </w:t>
      </w:r>
      <w:r w:rsidR="003868D8" w:rsidRPr="004058E4">
        <w:rPr>
          <w:lang w:val="en-GB"/>
        </w:rPr>
        <w:t xml:space="preserve">abduction </w:t>
      </w:r>
      <w:r w:rsidR="00AC720D" w:rsidRPr="004058E4">
        <w:rPr>
          <w:lang w:val="en-GB"/>
        </w:rPr>
        <w:t xml:space="preserve">and disappearance of </w:t>
      </w:r>
      <w:proofErr w:type="spellStart"/>
      <w:r w:rsidR="00AC720D" w:rsidRPr="004058E4">
        <w:t>Mrs</w:t>
      </w:r>
      <w:proofErr w:type="spellEnd"/>
      <w:r w:rsidR="00AC720D" w:rsidRPr="004058E4">
        <w:t xml:space="preserve"> </w:t>
      </w:r>
      <w:r w:rsidR="00AC720D" w:rsidRPr="004058E4">
        <w:rPr>
          <w:lang w:val="en-GB" w:eastAsia="en-GB"/>
        </w:rPr>
        <w:t xml:space="preserve">Vera </w:t>
      </w:r>
      <w:proofErr w:type="spellStart"/>
      <w:r w:rsidR="00AC720D" w:rsidRPr="004058E4">
        <w:rPr>
          <w:lang w:val="en-GB" w:eastAsia="en-GB"/>
        </w:rPr>
        <w:t>Škripac</w:t>
      </w:r>
      <w:proofErr w:type="spellEnd"/>
      <w:r w:rsidRPr="004058E4">
        <w:rPr>
          <w:b/>
          <w:bCs/>
          <w:lang w:val="en-GB"/>
        </w:rPr>
        <w:t>,</w:t>
      </w:r>
      <w:r w:rsidRPr="004058E4">
        <w:rPr>
          <w:bCs/>
          <w:lang w:val="en-GB"/>
        </w:rPr>
        <w:t xml:space="preserve"> in line with its general obligation to secure the effective implementation of the domestic laws which protect the right to life, given to it by UN Security Council Resolution 1244 (1999) (see § </w:t>
      </w:r>
      <w:r w:rsidRPr="004058E4">
        <w:fldChar w:fldCharType="begin"/>
      </w:r>
      <w:r w:rsidRPr="004058E4">
        <w:instrText xml:space="preserve"> REF _Ref373941473 \r \h  \* MERGEFORMAT </w:instrText>
      </w:r>
      <w:r w:rsidRPr="004058E4">
        <w:fldChar w:fldCharType="separate"/>
      </w:r>
      <w:r w:rsidR="00C60385" w:rsidRPr="00C60385">
        <w:rPr>
          <w:bCs/>
          <w:lang w:val="en-GB"/>
        </w:rPr>
        <w:t>11</w:t>
      </w:r>
      <w:r w:rsidRPr="004058E4">
        <w:fldChar w:fldCharType="end"/>
      </w:r>
      <w:r w:rsidRPr="004058E4">
        <w:rPr>
          <w:bCs/>
          <w:lang w:val="en-GB"/>
        </w:rPr>
        <w:t xml:space="preserve"> above) and further defined by UNMIK Regulation No. 1999/1 </w:t>
      </w:r>
      <w:r w:rsidRPr="004058E4">
        <w:rPr>
          <w:bCs/>
          <w:i/>
          <w:lang w:val="en-GB"/>
        </w:rPr>
        <w:t>On the Authority of the Interim Administration in Kosovo</w:t>
      </w:r>
      <w:r w:rsidRPr="004058E4">
        <w:rPr>
          <w:bCs/>
          <w:lang w:val="en-GB"/>
        </w:rPr>
        <w:t xml:space="preserve"> and subsequently, UNMIK Regulation 1999/24 </w:t>
      </w:r>
      <w:r w:rsidRPr="004058E4">
        <w:rPr>
          <w:bCs/>
          <w:i/>
          <w:lang w:val="en-GB"/>
        </w:rPr>
        <w:t>On the Law Applicable in Kosovo,</w:t>
      </w:r>
      <w:r w:rsidRPr="004058E4">
        <w:rPr>
          <w:bCs/>
          <w:lang w:val="en-GB"/>
        </w:rPr>
        <w:t xml:space="preserve"> and Article 2 of the ECHR.</w:t>
      </w:r>
    </w:p>
    <w:p w:rsidR="00CE153E" w:rsidRPr="004058E4" w:rsidRDefault="00CE153E" w:rsidP="00CE153E">
      <w:pPr>
        <w:suppressAutoHyphens/>
        <w:autoSpaceDE w:val="0"/>
        <w:ind w:left="360"/>
        <w:jc w:val="both"/>
        <w:rPr>
          <w:bCs/>
          <w:lang w:val="en-GB"/>
        </w:rPr>
      </w:pPr>
    </w:p>
    <w:p w:rsidR="00CE153E" w:rsidRPr="004058E4" w:rsidRDefault="00CE153E" w:rsidP="00CE153E">
      <w:pPr>
        <w:numPr>
          <w:ilvl w:val="0"/>
          <w:numId w:val="2"/>
        </w:numPr>
        <w:suppressAutoHyphens/>
        <w:autoSpaceDE w:val="0"/>
        <w:jc w:val="both"/>
        <w:rPr>
          <w:lang w:val="en-GB"/>
        </w:rPr>
      </w:pPr>
      <w:r w:rsidRPr="004058E4">
        <w:rPr>
          <w:bCs/>
          <w:lang w:val="en-GB"/>
        </w:rPr>
        <w:t xml:space="preserve">Accepting that </w:t>
      </w:r>
      <w:proofErr w:type="spellStart"/>
      <w:r w:rsidRPr="004058E4">
        <w:t>Mrs</w:t>
      </w:r>
      <w:proofErr w:type="spellEnd"/>
      <w:r w:rsidRPr="004058E4">
        <w:t xml:space="preserve"> </w:t>
      </w:r>
      <w:r w:rsidRPr="004058E4">
        <w:rPr>
          <w:lang w:val="en-GB" w:eastAsia="en-GB"/>
        </w:rPr>
        <w:t xml:space="preserve">Vera </w:t>
      </w:r>
      <w:proofErr w:type="spellStart"/>
      <w:r w:rsidRPr="004058E4">
        <w:rPr>
          <w:lang w:val="en-GB" w:eastAsia="en-GB"/>
        </w:rPr>
        <w:t>Škripac</w:t>
      </w:r>
      <w:proofErr w:type="spellEnd"/>
      <w:r w:rsidRPr="004058E4">
        <w:rPr>
          <w:b/>
          <w:bCs/>
          <w:lang w:val="en-GB"/>
        </w:rPr>
        <w:t>,</w:t>
      </w:r>
      <w:r w:rsidRPr="004058E4">
        <w:rPr>
          <w:bCs/>
          <w:lang w:val="en-GB"/>
        </w:rPr>
        <w:t xml:space="preserve"> disappeared in life-threatening circumstances, the SRSG does not dispute UNMIK’s responsibility to conduct an investigation into his case 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CE153E" w:rsidRPr="004058E4" w:rsidRDefault="00CE153E" w:rsidP="00CE153E">
      <w:pPr>
        <w:suppressAutoHyphens/>
        <w:autoSpaceDE w:val="0"/>
        <w:ind w:left="360"/>
        <w:jc w:val="both"/>
        <w:rPr>
          <w:lang w:val="en-GB"/>
        </w:rPr>
      </w:pPr>
    </w:p>
    <w:p w:rsidR="00CE153E" w:rsidRPr="004058E4" w:rsidRDefault="00CE153E" w:rsidP="00CE153E">
      <w:pPr>
        <w:numPr>
          <w:ilvl w:val="0"/>
          <w:numId w:val="2"/>
        </w:numPr>
        <w:suppressAutoHyphens/>
        <w:autoSpaceDE w:val="0"/>
        <w:jc w:val="both"/>
        <w:rPr>
          <w:lang w:val="en-GB"/>
        </w:rPr>
      </w:pPr>
      <w:r w:rsidRPr="004058E4">
        <w:rPr>
          <w:bCs/>
          <w:lang w:val="en-GB"/>
        </w:rPr>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p>
    <w:p w:rsidR="00CE153E" w:rsidRPr="004058E4" w:rsidRDefault="00CE153E" w:rsidP="00CE153E">
      <w:pPr>
        <w:rPr>
          <w:bCs/>
          <w:lang w:val="en-GB"/>
        </w:rPr>
      </w:pPr>
    </w:p>
    <w:p w:rsidR="00CE153E" w:rsidRPr="004058E4" w:rsidRDefault="00CE153E" w:rsidP="00CE153E">
      <w:pPr>
        <w:numPr>
          <w:ilvl w:val="0"/>
          <w:numId w:val="2"/>
        </w:numPr>
        <w:suppressAutoHyphens/>
        <w:autoSpaceDE w:val="0"/>
        <w:jc w:val="both"/>
        <w:rPr>
          <w:lang w:val="en-GB"/>
        </w:rPr>
      </w:pPr>
      <w:r w:rsidRPr="004058E4">
        <w:rPr>
          <w:bCs/>
          <w:lang w:val="en-GB"/>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proofErr w:type="spellStart"/>
      <w:r w:rsidRPr="004058E4">
        <w:rPr>
          <w:bCs/>
          <w:i/>
          <w:lang w:val="en-GB"/>
        </w:rPr>
        <w:t>Palić</w:t>
      </w:r>
      <w:proofErr w:type="spellEnd"/>
      <w:r w:rsidRPr="004058E4">
        <w:rPr>
          <w:bCs/>
          <w:i/>
          <w:lang w:val="en-GB"/>
        </w:rPr>
        <w:t xml:space="preserve"> v. Bosnia and Herzegovina</w:t>
      </w:r>
      <w:r w:rsidRPr="004058E4">
        <w:rPr>
          <w:bCs/>
          <w:lang w:val="en-GB"/>
        </w:rPr>
        <w:t>, stating at paragraph 70:</w:t>
      </w:r>
    </w:p>
    <w:p w:rsidR="00CE153E" w:rsidRDefault="00CE153E" w:rsidP="00CE153E">
      <w:pPr>
        <w:rPr>
          <w:lang w:val="en-GB"/>
        </w:rPr>
      </w:pPr>
    </w:p>
    <w:p w:rsidR="00CE153E" w:rsidRDefault="00CE153E" w:rsidP="007642F1">
      <w:pPr>
        <w:suppressAutoHyphens/>
        <w:autoSpaceDE w:val="0"/>
        <w:ind w:left="720" w:right="630"/>
        <w:jc w:val="both"/>
        <w:rPr>
          <w:lang w:val="en-GB"/>
        </w:rPr>
      </w:pPr>
      <w:r w:rsidRPr="006E4A31">
        <w:rPr>
          <w:bCs/>
          <w:lang w:val="en-GB"/>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6E4A31">
        <w:rPr>
          <w:bCs/>
          <w:i/>
          <w:lang w:val="en-GB"/>
        </w:rPr>
        <w:t>Sejdić</w:t>
      </w:r>
      <w:proofErr w:type="spellEnd"/>
      <w:r w:rsidRPr="006E4A31">
        <w:rPr>
          <w:bCs/>
          <w:i/>
          <w:lang w:val="en-GB"/>
        </w:rPr>
        <w:t xml:space="preserve"> and </w:t>
      </w:r>
      <w:proofErr w:type="spellStart"/>
      <w:r w:rsidRPr="006E4A31">
        <w:rPr>
          <w:bCs/>
          <w:i/>
          <w:lang w:val="en-GB"/>
        </w:rPr>
        <w:t>Finci</w:t>
      </w:r>
      <w:proofErr w:type="spellEnd"/>
      <w:r w:rsidRPr="006E4A31">
        <w:rPr>
          <w:bCs/>
          <w:i/>
          <w:lang w:val="en-GB"/>
        </w:rPr>
        <w:t xml:space="preserve"> v. Bosnia Herzegovina</w:t>
      </w:r>
      <w:r w:rsidRPr="006E4A31">
        <w:rPr>
          <w:bCs/>
          <w:lang w:val="en-GB"/>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CE153E" w:rsidRPr="00CE153E" w:rsidRDefault="00CE153E" w:rsidP="00CE153E">
      <w:pPr>
        <w:suppressAutoHyphens/>
        <w:autoSpaceDE w:val="0"/>
        <w:ind w:left="720"/>
        <w:jc w:val="both"/>
        <w:rPr>
          <w:lang w:val="en-GB"/>
        </w:rPr>
      </w:pPr>
    </w:p>
    <w:p w:rsidR="00CE153E" w:rsidRPr="00764538" w:rsidRDefault="00CE153E" w:rsidP="00CE153E">
      <w:pPr>
        <w:numPr>
          <w:ilvl w:val="0"/>
          <w:numId w:val="2"/>
        </w:numPr>
        <w:suppressAutoHyphens/>
        <w:autoSpaceDE w:val="0"/>
        <w:jc w:val="both"/>
        <w:rPr>
          <w:lang w:val="en-GB"/>
        </w:rPr>
      </w:pPr>
      <w:r w:rsidRPr="006E4A31">
        <w:rPr>
          <w:bCs/>
          <w:lang w:val="en-GB"/>
        </w:rPr>
        <w:t>In the view of the SRSG, the situation that UNMIK faced in Kosovo “from 1999 to 2008” was “in most respect similar to that experienced in Bosnia and Herzegovina from 1995 to 2005”.</w:t>
      </w:r>
    </w:p>
    <w:p w:rsidR="00764538" w:rsidRPr="00764538" w:rsidRDefault="00764538" w:rsidP="00764538">
      <w:pPr>
        <w:suppressAutoHyphens/>
        <w:autoSpaceDE w:val="0"/>
        <w:ind w:left="360"/>
        <w:jc w:val="both"/>
        <w:rPr>
          <w:lang w:val="en-GB"/>
        </w:rPr>
      </w:pPr>
    </w:p>
    <w:p w:rsidR="00764538" w:rsidRPr="006E4A31" w:rsidRDefault="00764538" w:rsidP="00764538">
      <w:pPr>
        <w:numPr>
          <w:ilvl w:val="0"/>
          <w:numId w:val="2"/>
        </w:numPr>
        <w:suppressAutoHyphens/>
        <w:autoSpaceDE w:val="0"/>
        <w:jc w:val="both"/>
        <w:rPr>
          <w:lang w:val="en-GB"/>
        </w:rPr>
      </w:pPr>
      <w:r w:rsidRPr="006E4A31">
        <w:rPr>
          <w:lang w:val="en-GB"/>
        </w:rPr>
        <w:t>The SRSG states that during the Kosovo conflict thousands of people went missing, at least 800,000 people were displaced and thousands were killed. Many of the persons who went missing were abducted, killed, and buried in unmarked graves inside or outside Kosovo, which made very difficult locating and recovering their mortal remains.</w:t>
      </w:r>
    </w:p>
    <w:p w:rsidR="00764538" w:rsidRPr="006E4A31" w:rsidRDefault="00764538" w:rsidP="00764538">
      <w:pPr>
        <w:suppressAutoHyphens/>
        <w:autoSpaceDE w:val="0"/>
        <w:ind w:left="360"/>
        <w:jc w:val="both"/>
        <w:rPr>
          <w:lang w:val="en-GB"/>
        </w:rPr>
      </w:pPr>
    </w:p>
    <w:p w:rsidR="00764538" w:rsidRPr="006E4A31" w:rsidRDefault="00764538" w:rsidP="00764538">
      <w:pPr>
        <w:numPr>
          <w:ilvl w:val="0"/>
          <w:numId w:val="2"/>
        </w:numPr>
        <w:suppressAutoHyphens/>
        <w:autoSpaceDE w:val="0"/>
        <w:jc w:val="both"/>
        <w:rPr>
          <w:lang w:val="en-GB"/>
        </w:rPr>
      </w:pPr>
      <w:r w:rsidRPr="006E4A31">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w:t>
      </w:r>
      <w:proofErr w:type="spellStart"/>
      <w:r w:rsidRPr="006E4A31">
        <w:rPr>
          <w:lang w:val="en-GB"/>
        </w:rPr>
        <w:t>Rahovec</w:t>
      </w:r>
      <w:proofErr w:type="spellEnd"/>
      <w:r w:rsidRPr="006E4A31">
        <w:rPr>
          <w:lang w:val="en-GB"/>
        </w:rPr>
        <w:t>/</w:t>
      </w:r>
      <w:proofErr w:type="spellStart"/>
      <w:r w:rsidRPr="006E4A31">
        <w:rPr>
          <w:lang w:val="en-GB"/>
        </w:rPr>
        <w:t>Orahovac</w:t>
      </w:r>
      <w:proofErr w:type="spellEnd"/>
      <w:r w:rsidRPr="006E4A31">
        <w:rPr>
          <w:lang w:val="en-GB"/>
        </w:rPr>
        <w:t xml:space="preserve">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764538" w:rsidRPr="006E4A31" w:rsidRDefault="00764538" w:rsidP="00764538">
      <w:pPr>
        <w:suppressAutoHyphens/>
        <w:autoSpaceDE w:val="0"/>
        <w:ind w:left="360"/>
        <w:jc w:val="both"/>
        <w:rPr>
          <w:lang w:val="en-GB"/>
        </w:rPr>
      </w:pPr>
    </w:p>
    <w:p w:rsidR="00764538" w:rsidRPr="00D54A11" w:rsidRDefault="00764538" w:rsidP="00764538">
      <w:pPr>
        <w:numPr>
          <w:ilvl w:val="0"/>
          <w:numId w:val="2"/>
        </w:numPr>
        <w:suppressAutoHyphens/>
        <w:autoSpaceDE w:val="0"/>
        <w:jc w:val="both"/>
        <w:rPr>
          <w:lang w:val="en-GB"/>
        </w:rPr>
      </w:pPr>
      <w:r w:rsidRPr="006E4A31">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E4A31">
        <w:rPr>
          <w:lang w:val="en-GB"/>
        </w:rPr>
        <w:t>between 2002-2008</w:t>
      </w:r>
      <w:proofErr w:type="gramEnd"/>
      <w:r w:rsidRPr="006E4A31">
        <w:rPr>
          <w:lang w:val="en-GB"/>
        </w:rPr>
        <w:t xml:space="preserve">” and that “more bodies </w:t>
      </w:r>
      <w:r w:rsidR="0037432B">
        <w:rPr>
          <w:lang w:val="en-GB"/>
        </w:rPr>
        <w:t>have been</w:t>
      </w:r>
      <w:r w:rsidRPr="006E4A31">
        <w:rPr>
          <w:lang w:val="en-GB"/>
        </w:rPr>
        <w:t xml:space="preserv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proofErr w:type="spellStart"/>
      <w:r w:rsidRPr="00DF3480">
        <w:rPr>
          <w:i/>
          <w:lang w:val="en-GB"/>
        </w:rPr>
        <w:t>Palić</w:t>
      </w:r>
      <w:proofErr w:type="spellEnd"/>
      <w:r w:rsidRPr="006E4A31">
        <w:rPr>
          <w:lang w:val="en-GB"/>
        </w:rPr>
        <w:t xml:space="preserve"> 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6E4A31">
        <w:rPr>
          <w:lang w:val="en-GB"/>
        </w:rPr>
        <w:t>persons</w:t>
      </w:r>
      <w:proofErr w:type="gramEnd"/>
      <w:r w:rsidRPr="006E4A31">
        <w:rPr>
          <w:lang w:val="en-GB"/>
        </w:rPr>
        <w:t xml:space="preserve"> organisations.” </w:t>
      </w:r>
    </w:p>
    <w:p w:rsidR="00764538" w:rsidRPr="000D2756" w:rsidRDefault="00764538" w:rsidP="00764538">
      <w:pPr>
        <w:autoSpaceDE w:val="0"/>
        <w:jc w:val="both"/>
      </w:pPr>
    </w:p>
    <w:p w:rsidR="00764538" w:rsidRPr="000D2756" w:rsidRDefault="00764538" w:rsidP="00764538">
      <w:pPr>
        <w:numPr>
          <w:ilvl w:val="0"/>
          <w:numId w:val="2"/>
        </w:numPr>
        <w:tabs>
          <w:tab w:val="left" w:pos="709"/>
        </w:tabs>
        <w:suppressAutoHyphens/>
        <w:autoSpaceDE w:val="0"/>
        <w:jc w:val="both"/>
        <w:rPr>
          <w:lang w:eastAsia="nl-NL"/>
        </w:rPr>
      </w:pPr>
      <w:r w:rsidRPr="000D2756">
        <w:t xml:space="preserve">The </w:t>
      </w:r>
      <w:r w:rsidRPr="000D2756">
        <w:rPr>
          <w:bCs/>
          <w:lang w:val="en-GB"/>
        </w:rPr>
        <w:t>SRSG</w:t>
      </w:r>
      <w:r w:rsidRPr="000D2756">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764538" w:rsidRPr="000D2756" w:rsidRDefault="00764538" w:rsidP="00764538">
      <w:pPr>
        <w:rPr>
          <w:lang w:eastAsia="nl-NL"/>
        </w:rPr>
      </w:pPr>
    </w:p>
    <w:p w:rsidR="00764538" w:rsidRPr="000D2756" w:rsidRDefault="00764538" w:rsidP="00764538">
      <w:pPr>
        <w:ind w:left="862" w:right="567"/>
        <w:jc w:val="both"/>
        <w:rPr>
          <w:lang w:eastAsia="nl-NL"/>
        </w:rPr>
      </w:pPr>
      <w:r w:rsidRPr="000D2756">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764538" w:rsidRPr="000D2756" w:rsidRDefault="00764538" w:rsidP="00764538">
      <w:pPr>
        <w:jc w:val="both"/>
        <w:rPr>
          <w:lang w:eastAsia="nl-NL"/>
        </w:rPr>
      </w:pPr>
    </w:p>
    <w:p w:rsidR="00764538" w:rsidRPr="000D2756" w:rsidRDefault="00764538" w:rsidP="00764538">
      <w:pPr>
        <w:ind w:left="862" w:right="567"/>
        <w:jc w:val="both"/>
        <w:rPr>
          <w:lang w:eastAsia="nl-NL"/>
        </w:rPr>
      </w:pPr>
      <w:r w:rsidRPr="000D2756">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764538" w:rsidRPr="000D2756" w:rsidRDefault="00764538" w:rsidP="00764538"/>
    <w:p w:rsidR="00764538" w:rsidRPr="004058E4" w:rsidRDefault="00764538" w:rsidP="00764538">
      <w:pPr>
        <w:numPr>
          <w:ilvl w:val="0"/>
          <w:numId w:val="2"/>
        </w:numPr>
        <w:tabs>
          <w:tab w:val="left" w:pos="709"/>
        </w:tabs>
        <w:suppressAutoHyphens/>
        <w:autoSpaceDE w:val="0"/>
        <w:jc w:val="both"/>
        <w:rPr>
          <w:lang w:eastAsia="nl-NL"/>
        </w:rPr>
      </w:pPr>
      <w: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w:t>
      </w:r>
      <w:r w:rsidRPr="004058E4">
        <w:t xml:space="preserve">territory and cultures, with limited support from the still developing Kosovo Police. </w:t>
      </w:r>
    </w:p>
    <w:p w:rsidR="00764538" w:rsidRPr="004058E4" w:rsidRDefault="00764538" w:rsidP="00764538">
      <w:pPr>
        <w:tabs>
          <w:tab w:val="left" w:pos="709"/>
        </w:tabs>
        <w:suppressAutoHyphens/>
        <w:autoSpaceDE w:val="0"/>
        <w:ind w:left="360"/>
        <w:jc w:val="both"/>
        <w:rPr>
          <w:lang w:eastAsia="nl-NL"/>
        </w:rPr>
      </w:pPr>
    </w:p>
    <w:p w:rsidR="00FE591C" w:rsidRPr="004058E4" w:rsidRDefault="00764538" w:rsidP="00764538">
      <w:pPr>
        <w:numPr>
          <w:ilvl w:val="0"/>
          <w:numId w:val="2"/>
        </w:numPr>
        <w:tabs>
          <w:tab w:val="left" w:pos="709"/>
        </w:tabs>
        <w:suppressAutoHyphens/>
        <w:autoSpaceDE w:val="0"/>
        <w:jc w:val="both"/>
        <w:rPr>
          <w:lang w:eastAsia="nl-NL"/>
        </w:rPr>
      </w:pPr>
      <w:r w:rsidRPr="004058E4">
        <w:t>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without the surge in cases of this nature associated wit</w:t>
      </w:r>
      <w:r w:rsidR="00FE591C" w:rsidRPr="004058E4">
        <w:t>h a post-conflict situation</w:t>
      </w:r>
      <w:r w:rsidRPr="004058E4">
        <w:t>”</w:t>
      </w:r>
      <w:r w:rsidR="00FE591C" w:rsidRPr="004058E4">
        <w:t>.</w:t>
      </w:r>
    </w:p>
    <w:p w:rsidR="00FE591C" w:rsidRDefault="00FE591C" w:rsidP="00FE591C">
      <w:pPr>
        <w:pStyle w:val="ListParagraph"/>
        <w:rPr>
          <w:bCs/>
        </w:rPr>
      </w:pPr>
    </w:p>
    <w:p w:rsidR="004A7AF4" w:rsidRPr="004058E4" w:rsidRDefault="00FE591C" w:rsidP="00FE591C">
      <w:pPr>
        <w:numPr>
          <w:ilvl w:val="0"/>
          <w:numId w:val="2"/>
        </w:numPr>
        <w:tabs>
          <w:tab w:val="left" w:pos="709"/>
        </w:tabs>
        <w:suppressAutoHyphens/>
        <w:autoSpaceDE w:val="0"/>
        <w:jc w:val="both"/>
        <w:rPr>
          <w:lang w:val="en-GB"/>
        </w:rPr>
      </w:pPr>
      <w:r w:rsidRPr="004058E4">
        <w:rPr>
          <w:bCs/>
        </w:rPr>
        <w:t xml:space="preserve">With regard to this particular case, the SRSG </w:t>
      </w:r>
      <w:proofErr w:type="spellStart"/>
      <w:r w:rsidRPr="004058E4">
        <w:rPr>
          <w:bCs/>
        </w:rPr>
        <w:t>summarises</w:t>
      </w:r>
      <w:proofErr w:type="spellEnd"/>
      <w:r w:rsidRPr="004058E4">
        <w:rPr>
          <w:bCs/>
        </w:rPr>
        <w:t xml:space="preserve"> the steps taken by the UNMIK Police to investigate the </w:t>
      </w:r>
      <w:r w:rsidR="004A7AF4" w:rsidRPr="004058E4">
        <w:rPr>
          <w:bCs/>
        </w:rPr>
        <w:t xml:space="preserve">abduction and disappearance of </w:t>
      </w:r>
      <w:proofErr w:type="spellStart"/>
      <w:r w:rsidR="004A7AF4" w:rsidRPr="004058E4">
        <w:rPr>
          <w:bCs/>
        </w:rPr>
        <w:t>Mrs</w:t>
      </w:r>
      <w:proofErr w:type="spellEnd"/>
      <w:r w:rsidR="004A7AF4" w:rsidRPr="004058E4">
        <w:rPr>
          <w:bCs/>
        </w:rPr>
        <w:t xml:space="preserve"> Vera </w:t>
      </w:r>
      <w:proofErr w:type="spellStart"/>
      <w:r w:rsidR="004A7AF4" w:rsidRPr="004058E4">
        <w:rPr>
          <w:bCs/>
        </w:rPr>
        <w:t>Škripac</w:t>
      </w:r>
      <w:proofErr w:type="spellEnd"/>
      <w:r w:rsidR="004A7AF4" w:rsidRPr="004058E4">
        <w:rPr>
          <w:bCs/>
        </w:rPr>
        <w:t xml:space="preserve"> in September 1999 (as described in §§ </w:t>
      </w:r>
      <w:r w:rsidR="004058E4" w:rsidRPr="004058E4">
        <w:rPr>
          <w:bCs/>
        </w:rPr>
        <w:t>27-39</w:t>
      </w:r>
      <w:r w:rsidR="004A7AF4" w:rsidRPr="004058E4">
        <w:rPr>
          <w:bCs/>
        </w:rPr>
        <w:t xml:space="preserve"> above), as well as the attempts made to establish her whereabouts and/or identify mortal remains suspected to be those of </w:t>
      </w:r>
      <w:proofErr w:type="spellStart"/>
      <w:r w:rsidR="004A7AF4" w:rsidRPr="004058E4">
        <w:rPr>
          <w:bCs/>
        </w:rPr>
        <w:t>Mrs</w:t>
      </w:r>
      <w:proofErr w:type="spellEnd"/>
      <w:r w:rsidR="004A7AF4" w:rsidRPr="004058E4">
        <w:rPr>
          <w:bCs/>
        </w:rPr>
        <w:t xml:space="preserve"> Vera </w:t>
      </w:r>
      <w:proofErr w:type="spellStart"/>
      <w:r w:rsidR="004A7AF4" w:rsidRPr="004058E4">
        <w:rPr>
          <w:bCs/>
        </w:rPr>
        <w:t>Škripac</w:t>
      </w:r>
      <w:proofErr w:type="spellEnd"/>
      <w:r w:rsidR="004A7AF4" w:rsidRPr="004058E4">
        <w:rPr>
          <w:bCs/>
        </w:rPr>
        <w:t xml:space="preserve">. The SRSG states that the investigative activities of UNMIK must be assessed against the broader context of UNMIK’s criminal investigations in post-conflict Kosovo, as outlined above. </w:t>
      </w:r>
    </w:p>
    <w:p w:rsidR="004A7AF4" w:rsidRPr="004058E4" w:rsidRDefault="004A7AF4" w:rsidP="004A7AF4">
      <w:pPr>
        <w:pStyle w:val="ListParagraph"/>
        <w:rPr>
          <w:bCs/>
        </w:rPr>
      </w:pPr>
    </w:p>
    <w:p w:rsidR="001C2817" w:rsidRPr="004058E4" w:rsidRDefault="004A7AF4" w:rsidP="00FE591C">
      <w:pPr>
        <w:numPr>
          <w:ilvl w:val="0"/>
          <w:numId w:val="2"/>
        </w:numPr>
        <w:tabs>
          <w:tab w:val="left" w:pos="709"/>
        </w:tabs>
        <w:suppressAutoHyphens/>
        <w:autoSpaceDE w:val="0"/>
        <w:jc w:val="both"/>
        <w:rPr>
          <w:lang w:val="en-GB"/>
        </w:rPr>
      </w:pPr>
      <w:r w:rsidRPr="004058E4">
        <w:rPr>
          <w:bCs/>
        </w:rPr>
        <w:t>The SRSG states that, within this difficult framework, UNMIK sought to comply with its obligation to conduct an effect</w:t>
      </w:r>
      <w:r w:rsidR="00342A14" w:rsidRPr="004058E4">
        <w:rPr>
          <w:bCs/>
        </w:rPr>
        <w:t>ive investigation into the case; however there was a general la</w:t>
      </w:r>
      <w:r w:rsidR="008A69C4" w:rsidRPr="004058E4">
        <w:rPr>
          <w:bCs/>
        </w:rPr>
        <w:t>ck of information</w:t>
      </w:r>
      <w:r w:rsidR="00342A14" w:rsidRPr="004058E4">
        <w:rPr>
          <w:bCs/>
        </w:rPr>
        <w:t xml:space="preserve">, including “no eye-witnesses” and “no reliable evidence concerning the identity of possible perpetrators”. </w:t>
      </w:r>
      <w:r w:rsidR="008A69C4" w:rsidRPr="004058E4">
        <w:rPr>
          <w:bCs/>
        </w:rPr>
        <w:t>According to the SRSG,</w:t>
      </w:r>
      <w:r w:rsidR="00342A14" w:rsidRPr="004058E4">
        <w:rPr>
          <w:bCs/>
        </w:rPr>
        <w:t xml:space="preserve"> there is nothing in the investigative file indicating that UNMIK Police and the OMPF had any investigative leads that they could “concretely follow-up” </w:t>
      </w:r>
      <w:r w:rsidR="007127B5" w:rsidRPr="004058E4">
        <w:rPr>
          <w:bCs/>
        </w:rPr>
        <w:t xml:space="preserve"> </w:t>
      </w:r>
      <w:r w:rsidR="00342A14" w:rsidRPr="004058E4">
        <w:rPr>
          <w:bCs/>
        </w:rPr>
        <w:t xml:space="preserve">to successfully arrest and prosecute the perpetrators”. </w:t>
      </w:r>
    </w:p>
    <w:p w:rsidR="00E263E1" w:rsidRPr="004058E4" w:rsidRDefault="00E263E1" w:rsidP="00E263E1">
      <w:pPr>
        <w:rPr>
          <w:bCs/>
        </w:rPr>
      </w:pPr>
      <w:bookmarkStart w:id="27" w:name="_Ref367285537"/>
      <w:bookmarkStart w:id="28" w:name="_Ref368319301"/>
    </w:p>
    <w:p w:rsidR="00E263E1" w:rsidRPr="004058E4" w:rsidRDefault="00E263E1" w:rsidP="00E263E1">
      <w:pPr>
        <w:numPr>
          <w:ilvl w:val="0"/>
          <w:numId w:val="2"/>
        </w:numPr>
        <w:suppressAutoHyphens/>
        <w:autoSpaceDE w:val="0"/>
        <w:jc w:val="both"/>
        <w:rPr>
          <w:bCs/>
        </w:rPr>
      </w:pPr>
      <w:r w:rsidRPr="004058E4">
        <w:rPr>
          <w:bCs/>
        </w:rPr>
        <w:t>The SRSG states that</w:t>
      </w:r>
      <w:r w:rsidR="00FA22B2" w:rsidRPr="004058E4">
        <w:rPr>
          <w:bCs/>
        </w:rPr>
        <w:t xml:space="preserve"> the lack witnesses and physical evidence “posed a real hurdle to the conclusion of any investigation by UNMIK”. He also states that UNMIK has </w:t>
      </w:r>
      <w:r w:rsidRPr="004058E4">
        <w:t>noted i</w:t>
      </w:r>
      <w:r w:rsidR="00726F73" w:rsidRPr="004058E4">
        <w:t>n other</w:t>
      </w:r>
      <w:r w:rsidR="00FA22B2" w:rsidRPr="004058E4">
        <w:t xml:space="preserve"> missing </w:t>
      </w:r>
      <w:proofErr w:type="gramStart"/>
      <w:r w:rsidR="00FA22B2" w:rsidRPr="004058E4">
        <w:t>persons</w:t>
      </w:r>
      <w:proofErr w:type="gramEnd"/>
      <w:r w:rsidR="00FA22B2" w:rsidRPr="004058E4">
        <w:t xml:space="preserve"> cases that “</w:t>
      </w:r>
      <w:r w:rsidRPr="004058E4">
        <w:t xml:space="preserve">without witnesses coming forward or physical evidence being discovered, police investigations inevitably stall because of a lack of evidence”. </w:t>
      </w:r>
    </w:p>
    <w:p w:rsidR="00E263E1" w:rsidRPr="004058E4" w:rsidRDefault="00E263E1" w:rsidP="00E263E1">
      <w:pPr>
        <w:rPr>
          <w:bCs/>
        </w:rPr>
      </w:pPr>
    </w:p>
    <w:p w:rsidR="00E263E1" w:rsidRPr="004058E4" w:rsidRDefault="00E263E1" w:rsidP="00E263E1">
      <w:pPr>
        <w:numPr>
          <w:ilvl w:val="0"/>
          <w:numId w:val="2"/>
        </w:numPr>
        <w:suppressAutoHyphens/>
        <w:autoSpaceDE w:val="0"/>
        <w:jc w:val="both"/>
      </w:pPr>
      <w:r w:rsidRPr="004058E4">
        <w:rPr>
          <w:bCs/>
        </w:rPr>
        <w:t xml:space="preserve">In light of the reasons explained above, the SRSG submits that UNMIK acted in accordance with the procedural requirements of Article 2, ECHR, and therefore there has been no violation of this provision.  </w:t>
      </w:r>
      <w:bookmarkStart w:id="29" w:name="_Ref367285538"/>
    </w:p>
    <w:p w:rsidR="00E263E1" w:rsidRPr="004058E4" w:rsidRDefault="00E263E1" w:rsidP="00E263E1">
      <w:pPr>
        <w:suppressAutoHyphens/>
        <w:autoSpaceDE w:val="0"/>
        <w:ind w:left="360"/>
        <w:jc w:val="both"/>
      </w:pPr>
    </w:p>
    <w:p w:rsidR="00E263E1" w:rsidRPr="004058E4" w:rsidRDefault="00E263E1" w:rsidP="00E263E1">
      <w:pPr>
        <w:numPr>
          <w:ilvl w:val="0"/>
          <w:numId w:val="2"/>
        </w:numPr>
        <w:suppressAutoHyphens/>
        <w:autoSpaceDE w:val="0"/>
        <w:jc w:val="both"/>
      </w:pPr>
      <w:bookmarkStart w:id="30" w:name="_Ref411327532"/>
      <w:r w:rsidRPr="004058E4">
        <w:rPr>
          <w:lang w:eastAsia="nl-NL"/>
        </w:rPr>
        <w:t xml:space="preserve">The SRSG also </w:t>
      </w:r>
      <w:r w:rsidR="00726F73" w:rsidRPr="004058E4">
        <w:rPr>
          <w:bCs/>
        </w:rPr>
        <w:t>states that UNMIK reserves its right to</w:t>
      </w:r>
      <w:r w:rsidRPr="004058E4">
        <w:rPr>
          <w:lang w:eastAsia="nl-NL"/>
        </w:rPr>
        <w:t xml:space="preserve"> make further comments on </w:t>
      </w:r>
      <w:r w:rsidR="00726F73" w:rsidRPr="004058E4">
        <w:rPr>
          <w:lang w:eastAsia="nl-NL"/>
        </w:rPr>
        <w:t xml:space="preserve">the allegations related to the inadequacy of the investigation “should any additional information be brought to its attention”. </w:t>
      </w:r>
      <w:r w:rsidRPr="004058E4">
        <w:rPr>
          <w:lang w:eastAsia="nl-NL"/>
        </w:rPr>
        <w:t>However, no further communication in this regard, other than the confirmation of the full disclosure of the investigative files, has been received to date.</w:t>
      </w:r>
      <w:bookmarkEnd w:id="29"/>
      <w:bookmarkEnd w:id="30"/>
    </w:p>
    <w:p w:rsidR="001D22C7" w:rsidRPr="004058E4" w:rsidRDefault="001D22C7" w:rsidP="00711F6E">
      <w:pPr>
        <w:tabs>
          <w:tab w:val="left" w:pos="709"/>
        </w:tabs>
        <w:suppressAutoHyphens/>
        <w:autoSpaceDE w:val="0"/>
        <w:jc w:val="both"/>
        <w:rPr>
          <w:lang w:eastAsia="nl-NL"/>
        </w:rPr>
      </w:pPr>
    </w:p>
    <w:bookmarkEnd w:id="27"/>
    <w:bookmarkEnd w:id="28"/>
    <w:p w:rsidR="003E3F85" w:rsidRPr="004058E4" w:rsidRDefault="003E3F85" w:rsidP="003E3F85">
      <w:pPr>
        <w:pStyle w:val="ListParagraph"/>
        <w:numPr>
          <w:ilvl w:val="1"/>
          <w:numId w:val="1"/>
        </w:numPr>
        <w:tabs>
          <w:tab w:val="clear" w:pos="360"/>
          <w:tab w:val="left" w:pos="357"/>
        </w:tabs>
        <w:autoSpaceDE w:val="0"/>
        <w:contextualSpacing/>
        <w:jc w:val="both"/>
        <w:rPr>
          <w:b/>
          <w:lang w:val="en-GB"/>
        </w:rPr>
      </w:pPr>
      <w:r w:rsidRPr="004058E4">
        <w:rPr>
          <w:b/>
          <w:lang w:val="en-GB"/>
        </w:rPr>
        <w:t xml:space="preserve">The </w:t>
      </w:r>
      <w:r w:rsidRPr="004058E4">
        <w:rPr>
          <w:b/>
          <w:bCs/>
          <w:lang w:val="en-GB"/>
        </w:rPr>
        <w:t>Panel’s</w:t>
      </w:r>
      <w:r w:rsidRPr="004058E4">
        <w:rPr>
          <w:b/>
          <w:lang w:val="en-GB"/>
        </w:rPr>
        <w:t xml:space="preserve"> assessment</w:t>
      </w:r>
    </w:p>
    <w:p w:rsidR="003E3F85" w:rsidRPr="004058E4" w:rsidRDefault="003E3F85" w:rsidP="003E3F85">
      <w:pPr>
        <w:jc w:val="both"/>
        <w:rPr>
          <w:lang w:val="en-GB"/>
        </w:rPr>
      </w:pPr>
    </w:p>
    <w:p w:rsidR="003E3F85" w:rsidRPr="004058E4" w:rsidRDefault="003E3F85" w:rsidP="003E3F85">
      <w:pPr>
        <w:numPr>
          <w:ilvl w:val="0"/>
          <w:numId w:val="2"/>
        </w:numPr>
        <w:tabs>
          <w:tab w:val="left" w:pos="709"/>
        </w:tabs>
        <w:suppressAutoHyphens/>
        <w:autoSpaceDE w:val="0"/>
        <w:jc w:val="both"/>
        <w:rPr>
          <w:lang w:val="en-GB"/>
        </w:rPr>
      </w:pPr>
      <w:r w:rsidRPr="004058E4">
        <w:rPr>
          <w:lang w:val="en-GB"/>
        </w:rPr>
        <w:t>The</w:t>
      </w:r>
      <w:r w:rsidRPr="004058E4">
        <w:rPr>
          <w:bCs/>
          <w:lang w:val="en-GB"/>
        </w:rPr>
        <w:t xml:space="preserve"> Panel considers that the complainant invokes a violation of the procedural obligation </w:t>
      </w:r>
      <w:r w:rsidRPr="004058E4">
        <w:rPr>
          <w:lang w:val="en-GB"/>
        </w:rPr>
        <w:t>stemming</w:t>
      </w:r>
      <w:r w:rsidRPr="004058E4">
        <w:rPr>
          <w:bCs/>
          <w:lang w:val="en-GB"/>
        </w:rPr>
        <w:t xml:space="preserve"> from the right to life, guaranteed by Article 2 of the European Convention on Human Rights (ECHR) in that UNMIK did not conduct an effectiv</w:t>
      </w:r>
      <w:r w:rsidR="00622236" w:rsidRPr="004058E4">
        <w:rPr>
          <w:bCs/>
          <w:lang w:val="en-GB"/>
        </w:rPr>
        <w:t>e investigation into the</w:t>
      </w:r>
      <w:r w:rsidR="00657648" w:rsidRPr="004058E4">
        <w:rPr>
          <w:bCs/>
          <w:lang w:val="en-GB"/>
        </w:rPr>
        <w:t xml:space="preserve"> </w:t>
      </w:r>
      <w:r w:rsidR="00BA549E" w:rsidRPr="004058E4">
        <w:rPr>
          <w:bCs/>
          <w:lang w:val="en-GB"/>
        </w:rPr>
        <w:t xml:space="preserve">abduction and </w:t>
      </w:r>
      <w:r w:rsidR="00DE32D4" w:rsidRPr="004058E4">
        <w:rPr>
          <w:bCs/>
        </w:rPr>
        <w:t xml:space="preserve">disappearance of </w:t>
      </w:r>
      <w:proofErr w:type="spellStart"/>
      <w:r w:rsidR="00DE32D4" w:rsidRPr="004058E4">
        <w:rPr>
          <w:bCs/>
        </w:rPr>
        <w:t>Mrs</w:t>
      </w:r>
      <w:proofErr w:type="spellEnd"/>
      <w:r w:rsidR="00DE32D4" w:rsidRPr="004058E4">
        <w:rPr>
          <w:bCs/>
        </w:rPr>
        <w:t xml:space="preserve"> Vera </w:t>
      </w:r>
      <w:proofErr w:type="spellStart"/>
      <w:r w:rsidR="00DE32D4" w:rsidRPr="004058E4">
        <w:rPr>
          <w:bCs/>
        </w:rPr>
        <w:t>Škripac</w:t>
      </w:r>
      <w:proofErr w:type="spellEnd"/>
      <w:r w:rsidRPr="004058E4">
        <w:rPr>
          <w:lang w:val="en-GB"/>
        </w:rPr>
        <w:t>.</w:t>
      </w:r>
    </w:p>
    <w:p w:rsidR="003E3F85" w:rsidRPr="004058E4" w:rsidRDefault="003E3F85" w:rsidP="003E3F85">
      <w:pPr>
        <w:pStyle w:val="ListParagraph"/>
        <w:autoSpaceDE w:val="0"/>
        <w:ind w:left="360"/>
        <w:jc w:val="both"/>
        <w:rPr>
          <w:lang w:val="en-GB"/>
        </w:rPr>
      </w:pPr>
    </w:p>
    <w:p w:rsidR="003E3F85" w:rsidRPr="004058E4" w:rsidRDefault="003E3F85" w:rsidP="003E3F85">
      <w:pPr>
        <w:pStyle w:val="ListParagraph"/>
        <w:numPr>
          <w:ilvl w:val="0"/>
          <w:numId w:val="7"/>
        </w:numPr>
        <w:contextualSpacing/>
        <w:jc w:val="both"/>
        <w:rPr>
          <w:i/>
          <w:lang w:val="en-GB"/>
        </w:rPr>
      </w:pPr>
      <w:r w:rsidRPr="004058E4">
        <w:rPr>
          <w:i/>
          <w:lang w:val="en-GB"/>
        </w:rPr>
        <w:t>Submission of relevant files</w:t>
      </w:r>
    </w:p>
    <w:p w:rsidR="003E3F85" w:rsidRPr="004058E4" w:rsidRDefault="003E3F85" w:rsidP="003E3F85">
      <w:pPr>
        <w:pStyle w:val="ListParagraph"/>
        <w:autoSpaceDE w:val="0"/>
        <w:ind w:left="450"/>
        <w:jc w:val="both"/>
      </w:pPr>
      <w:bookmarkStart w:id="31" w:name="_Ref354590617"/>
    </w:p>
    <w:p w:rsidR="00E92DED" w:rsidRPr="004058E4" w:rsidRDefault="003E3F85" w:rsidP="00E92DED">
      <w:pPr>
        <w:numPr>
          <w:ilvl w:val="0"/>
          <w:numId w:val="2"/>
        </w:numPr>
        <w:tabs>
          <w:tab w:val="left" w:pos="709"/>
        </w:tabs>
        <w:suppressAutoHyphens/>
        <w:autoSpaceDE w:val="0"/>
        <w:jc w:val="both"/>
      </w:pPr>
      <w:r w:rsidRPr="004058E4">
        <w:rPr>
          <w:lang w:val="en-GB"/>
        </w:rPr>
        <w:t xml:space="preserve">At the Panel’s request, </w:t>
      </w:r>
      <w:r w:rsidR="00E92DED" w:rsidRPr="004058E4">
        <w:rPr>
          <w:lang w:val="en-GB"/>
        </w:rPr>
        <w:t xml:space="preserve">on </w:t>
      </w:r>
      <w:r w:rsidR="002C20E5" w:rsidRPr="004058E4">
        <w:rPr>
          <w:lang w:val="en-GB"/>
        </w:rPr>
        <w:t>14 August 2015</w:t>
      </w:r>
      <w:r w:rsidR="00E92DED" w:rsidRPr="004058E4">
        <w:rPr>
          <w:lang w:val="en-GB"/>
        </w:rPr>
        <w:t xml:space="preserve">, </w:t>
      </w:r>
      <w:r w:rsidR="00AD7F08" w:rsidRPr="004058E4">
        <w:rPr>
          <w:lang w:val="en-GB"/>
        </w:rPr>
        <w:t xml:space="preserve">the </w:t>
      </w:r>
      <w:r w:rsidR="00AD7F08" w:rsidRPr="004058E4">
        <w:rPr>
          <w:bCs/>
          <w:lang w:val="en-GB"/>
        </w:rPr>
        <w:t>SRSG</w:t>
      </w:r>
      <w:r w:rsidR="00AD7F08" w:rsidRPr="004058E4">
        <w:rPr>
          <w:lang w:val="en-GB"/>
        </w:rPr>
        <w:t xml:space="preserve"> provided copies of the documents </w:t>
      </w:r>
      <w:r w:rsidR="00AD7F08" w:rsidRPr="004058E4">
        <w:rPr>
          <w:bCs/>
          <w:color w:val="000000" w:themeColor="text1"/>
        </w:rPr>
        <w:t>related</w:t>
      </w:r>
      <w:r w:rsidR="00AD7F08" w:rsidRPr="004058E4">
        <w:rPr>
          <w:lang w:val="en-GB"/>
        </w:rPr>
        <w:t xml:space="preserve"> to the investigations subject of the present complaints, </w:t>
      </w:r>
      <w:r w:rsidR="00E92DED" w:rsidRPr="004058E4">
        <w:rPr>
          <w:lang w:val="en-GB"/>
        </w:rPr>
        <w:t>which UNMIK was able to recover.</w:t>
      </w:r>
      <w:r w:rsidR="00AD7F08" w:rsidRPr="004058E4">
        <w:rPr>
          <w:lang w:val="en-GB"/>
        </w:rPr>
        <w:t xml:space="preserve"> </w:t>
      </w:r>
      <w:r w:rsidRPr="004058E4">
        <w:rPr>
          <w:lang w:val="en-GB"/>
        </w:rPr>
        <w:t>O</w:t>
      </w:r>
      <w:r w:rsidRPr="004058E4">
        <w:t xml:space="preserve">n </w:t>
      </w:r>
      <w:r w:rsidR="00E60ACB" w:rsidRPr="004058E4">
        <w:t>27</w:t>
      </w:r>
      <w:r w:rsidR="002C20E5" w:rsidRPr="004058E4">
        <w:t xml:space="preserve"> </w:t>
      </w:r>
      <w:r w:rsidR="002C20E5" w:rsidRPr="004058E4">
        <w:rPr>
          <w:lang w:val="en-GB"/>
        </w:rPr>
        <w:t>August</w:t>
      </w:r>
      <w:r w:rsidR="002C20E5" w:rsidRPr="004058E4">
        <w:t xml:space="preserve"> </w:t>
      </w:r>
      <w:r w:rsidR="00AD7F08" w:rsidRPr="004058E4">
        <w:t>2015</w:t>
      </w:r>
      <w:r w:rsidR="00B77C87" w:rsidRPr="004058E4">
        <w:t xml:space="preserve">, </w:t>
      </w:r>
      <w:r w:rsidRPr="004058E4">
        <w:t xml:space="preserve">UNMIK confirmed to the Panel that no more files have been located, thus the disclosure may be considered complete (see § </w:t>
      </w:r>
      <w:r w:rsidR="00E92DED" w:rsidRPr="004058E4">
        <w:fldChar w:fldCharType="begin"/>
      </w:r>
      <w:r w:rsidR="00E92DED" w:rsidRPr="004058E4">
        <w:instrText xml:space="preserve"> REF _Ref414013761 \r \h </w:instrText>
      </w:r>
      <w:r w:rsidR="009A6E2B" w:rsidRPr="004058E4">
        <w:instrText xml:space="preserve"> \* MERGEFORMAT </w:instrText>
      </w:r>
      <w:r w:rsidR="00E92DED" w:rsidRPr="004058E4">
        <w:fldChar w:fldCharType="separate"/>
      </w:r>
      <w:r w:rsidR="00C60385">
        <w:t>8</w:t>
      </w:r>
      <w:r w:rsidR="00E92DED" w:rsidRPr="004058E4">
        <w:fldChar w:fldCharType="end"/>
      </w:r>
      <w:r w:rsidRPr="004058E4">
        <w:t xml:space="preserve"> above).</w:t>
      </w:r>
      <w:bookmarkEnd w:id="31"/>
    </w:p>
    <w:p w:rsidR="003E3F85" w:rsidRPr="004058E4" w:rsidRDefault="003E3F85" w:rsidP="003E3F85">
      <w:pPr>
        <w:suppressAutoHyphens/>
        <w:ind w:left="360"/>
        <w:jc w:val="bot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32" w:name="_Ref414015112"/>
      <w:r w:rsidRPr="004058E4">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w:t>
      </w:r>
      <w:r w:rsidRPr="00B62920">
        <w:rPr>
          <w:lang w:val="en-GB"/>
        </w:rPr>
        <w:t xml:space="preserv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B62920">
        <w:rPr>
          <w:lang w:val="en-GB"/>
        </w:rPr>
        <w:t>ECtHR</w:t>
      </w:r>
      <w:proofErr w:type="spellEnd"/>
      <w:r w:rsidRPr="00B62920">
        <w:rPr>
          <w:lang w:val="en-GB"/>
        </w:rPr>
        <w:t xml:space="preserve">, </w:t>
      </w:r>
      <w:proofErr w:type="spellStart"/>
      <w:r w:rsidRPr="00B62920">
        <w:rPr>
          <w:i/>
          <w:lang w:val="en-GB"/>
        </w:rPr>
        <w:t>Çelikbilek</w:t>
      </w:r>
      <w:proofErr w:type="spellEnd"/>
      <w:r w:rsidRPr="00B62920">
        <w:rPr>
          <w:i/>
          <w:lang w:val="en-GB"/>
        </w:rPr>
        <w:t xml:space="preserve"> v. Turkey</w:t>
      </w:r>
      <w:r w:rsidRPr="00B62920">
        <w:rPr>
          <w:lang w:val="en-GB"/>
        </w:rPr>
        <w:t xml:space="preserve">, </w:t>
      </w:r>
      <w:r w:rsidRPr="00B62920">
        <w:rPr>
          <w:lang w:val="en-GB" w:eastAsia="nl-BE"/>
        </w:rPr>
        <w:t>no. 27693/95, judgment of 31 May 2005</w:t>
      </w:r>
      <w:r w:rsidRPr="00B62920">
        <w:rPr>
          <w:i/>
          <w:iCs/>
          <w:lang w:val="en-GB" w:eastAsia="nl-BE"/>
        </w:rPr>
        <w:t>,</w:t>
      </w:r>
      <w:r w:rsidRPr="00B62920">
        <w:rPr>
          <w:iCs/>
          <w:lang w:val="en-GB" w:eastAsia="nl-BE"/>
        </w:rPr>
        <w:t xml:space="preserve"> § 56).</w:t>
      </w:r>
      <w:bookmarkEnd w:id="32"/>
      <w:r w:rsidRPr="00B62920">
        <w:rPr>
          <w:rFonts w:ascii="Helv" w:hAnsi="Helv" w:cs="Helv"/>
          <w:sz w:val="20"/>
          <w:szCs w:val="20"/>
          <w:lang w:val="en-GB" w:eastAsia="nl-BE"/>
        </w:rPr>
        <w:t xml:space="preserve"> </w:t>
      </w:r>
    </w:p>
    <w:p w:rsidR="003E3F85" w:rsidRPr="00B62920" w:rsidRDefault="003E3F85" w:rsidP="003E3F85">
      <w:pPr>
        <w:pStyle w:val="ListParagraph"/>
        <w:rPr>
          <w:lang w:val="en-GB"/>
        </w:rPr>
      </w:pPr>
    </w:p>
    <w:p w:rsidR="009923E7" w:rsidRPr="00B62920" w:rsidRDefault="003E3F85" w:rsidP="007D0DD0">
      <w:pPr>
        <w:pStyle w:val="ListParagraph"/>
        <w:numPr>
          <w:ilvl w:val="0"/>
          <w:numId w:val="2"/>
        </w:numPr>
        <w:jc w:val="both"/>
        <w:rPr>
          <w:lang w:val="en-GB" w:eastAsia="en-US"/>
        </w:rPr>
      </w:pPr>
      <w:bookmarkStart w:id="33" w:name="_Ref409786758"/>
      <w:r w:rsidRPr="00B62920">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B62920">
        <w:rPr>
          <w:i/>
          <w:lang w:val="en-GB"/>
        </w:rPr>
        <w:t>per se</w:t>
      </w:r>
      <w:r w:rsidR="009923E7" w:rsidRPr="00B62920">
        <w:rPr>
          <w:lang w:val="en-GB"/>
        </w:rPr>
        <w:t xml:space="preserve"> issues under Article 2 </w:t>
      </w:r>
      <w:r w:rsidR="009923E7" w:rsidRPr="00B62920">
        <w:rPr>
          <w:lang w:val="en-GB" w:eastAsia="en-US"/>
        </w:rPr>
        <w:t xml:space="preserve">(see HRAP, </w:t>
      </w:r>
      <w:proofErr w:type="spellStart"/>
      <w:r w:rsidR="009923E7" w:rsidRPr="00B62920">
        <w:rPr>
          <w:i/>
          <w:lang w:val="en-GB" w:eastAsia="en-US"/>
        </w:rPr>
        <w:t>Bulatović</w:t>
      </w:r>
      <w:proofErr w:type="spellEnd"/>
      <w:r w:rsidR="009923E7" w:rsidRPr="00B62920">
        <w:rPr>
          <w:lang w:val="en-GB" w:eastAsia="en-US"/>
        </w:rPr>
        <w:t>, no. 166/09, opinion of 13 November 2014, § 62).</w:t>
      </w:r>
      <w:bookmarkEnd w:id="33"/>
    </w:p>
    <w:p w:rsidR="003E3F85" w:rsidRPr="00B62920" w:rsidRDefault="003E3F85" w:rsidP="00AD7F08">
      <w:pPr>
        <w:rPr>
          <w:b/>
          <w:lang w:val="en-GB"/>
        </w:rPr>
      </w:pPr>
    </w:p>
    <w:p w:rsidR="003E3F85" w:rsidRPr="00B62920" w:rsidRDefault="003E3F85" w:rsidP="003E3F85">
      <w:pPr>
        <w:numPr>
          <w:ilvl w:val="0"/>
          <w:numId w:val="2"/>
        </w:numPr>
        <w:tabs>
          <w:tab w:val="left" w:pos="709"/>
        </w:tabs>
        <w:suppressAutoHyphens/>
        <w:autoSpaceDE w:val="0"/>
        <w:jc w:val="both"/>
        <w:rPr>
          <w:b/>
          <w:lang w:val="en-GB"/>
        </w:rPr>
      </w:pPr>
      <w:bookmarkStart w:id="34" w:name="_Ref373945461"/>
      <w:r w:rsidRPr="00B62920">
        <w:t xml:space="preserve">The </w:t>
      </w:r>
      <w:r w:rsidRPr="00B62920">
        <w:rPr>
          <w:lang w:val="en-GB"/>
        </w:rPr>
        <w:t>Panel has no reason to doubt that UNMIK undertook all efforts in order to obtain the relevant</w:t>
      </w:r>
      <w:r w:rsidRPr="00B62920">
        <w:t xml:space="preserve"> investigative files. However, the Panel notes that UNMIK has not provided any explanation as to why the documentation may be incomplete, nor with respect to which parts.</w:t>
      </w:r>
      <w:bookmarkEnd w:id="34"/>
    </w:p>
    <w:p w:rsidR="003E3F85" w:rsidRPr="00B62920" w:rsidRDefault="003E3F85" w:rsidP="003E3F85">
      <w:pPr>
        <w:pStyle w:val="ListParagraph"/>
        <w:rPr>
          <w:lang w:val="en-GB"/>
        </w:rPr>
      </w:pPr>
    </w:p>
    <w:p w:rsidR="003E3F85" w:rsidRPr="00B62920" w:rsidRDefault="003E3F85" w:rsidP="003E3F85">
      <w:pPr>
        <w:numPr>
          <w:ilvl w:val="0"/>
          <w:numId w:val="2"/>
        </w:numPr>
        <w:tabs>
          <w:tab w:val="left" w:pos="709"/>
        </w:tabs>
        <w:suppressAutoHyphens/>
        <w:autoSpaceDE w:val="0"/>
        <w:jc w:val="both"/>
        <w:rPr>
          <w:lang w:val="en-GB"/>
        </w:rPr>
      </w:pPr>
      <w:r w:rsidRPr="00B62920">
        <w:rPr>
          <w:lang w:val="en-GB"/>
        </w:rPr>
        <w:t>The Panel itself is not in the position to verify the completeness of the investigative files received.</w:t>
      </w:r>
      <w:r w:rsidR="002E1F96" w:rsidRPr="00B62920">
        <w:rPr>
          <w:lang w:val="en-GB"/>
        </w:rPr>
        <w:t xml:space="preserve"> </w:t>
      </w:r>
      <w:r w:rsidRPr="00B62920">
        <w:rPr>
          <w:lang w:val="en-GB"/>
        </w:rPr>
        <w:t xml:space="preserve">The Panel will therefore assess the merits of the complaint on the basis of documents made available (in this sense, see </w:t>
      </w:r>
      <w:proofErr w:type="spellStart"/>
      <w:r w:rsidRPr="00B62920">
        <w:rPr>
          <w:lang w:val="en-GB"/>
        </w:rPr>
        <w:t>ECtHR</w:t>
      </w:r>
      <w:proofErr w:type="spellEnd"/>
      <w:r w:rsidRPr="00B62920">
        <w:rPr>
          <w:lang w:val="en-GB"/>
        </w:rPr>
        <w:t xml:space="preserve">, </w:t>
      </w:r>
      <w:proofErr w:type="spellStart"/>
      <w:r w:rsidRPr="00B62920">
        <w:rPr>
          <w:i/>
          <w:lang w:val="en-GB"/>
        </w:rPr>
        <w:t>Tsechoyev</w:t>
      </w:r>
      <w:proofErr w:type="spellEnd"/>
      <w:r w:rsidRPr="00B62920">
        <w:rPr>
          <w:i/>
          <w:lang w:val="en-GB"/>
        </w:rPr>
        <w:t xml:space="preserve"> v. Russia</w:t>
      </w:r>
      <w:r w:rsidRPr="00B62920">
        <w:rPr>
          <w:lang w:val="en-GB"/>
        </w:rPr>
        <w:t>, no. 39358/05, judgment of</w:t>
      </w:r>
      <w:r w:rsidRPr="00B62920">
        <w:rPr>
          <w:i/>
          <w:lang w:val="en-GB"/>
        </w:rPr>
        <w:t xml:space="preserve"> </w:t>
      </w:r>
      <w:r w:rsidRPr="00B62920">
        <w:rPr>
          <w:lang w:val="en-GB"/>
        </w:rPr>
        <w:t>15 March 2011, § 146).</w:t>
      </w:r>
      <w:bookmarkStart w:id="35" w:name="_Ref366241114"/>
    </w:p>
    <w:p w:rsidR="003E3F85" w:rsidRPr="00B62920" w:rsidRDefault="003E3F85" w:rsidP="003E3F85">
      <w:pPr>
        <w:pStyle w:val="ListParagraph"/>
        <w:rPr>
          <w:lang w:val="en-GB"/>
        </w:rPr>
      </w:pPr>
    </w:p>
    <w:p w:rsidR="003E3F85" w:rsidRPr="00B62920" w:rsidRDefault="003E3F85" w:rsidP="003E3F85">
      <w:pPr>
        <w:pStyle w:val="ListParagraph"/>
        <w:numPr>
          <w:ilvl w:val="0"/>
          <w:numId w:val="7"/>
        </w:numPr>
        <w:contextualSpacing/>
        <w:jc w:val="both"/>
        <w:rPr>
          <w:i/>
          <w:lang w:val="en-GB"/>
        </w:rPr>
      </w:pPr>
      <w:r w:rsidRPr="00B62920">
        <w:rPr>
          <w:i/>
          <w:lang w:val="en-GB" w:eastAsia="en-US"/>
        </w:rPr>
        <w:t>General</w:t>
      </w:r>
      <w:r w:rsidRPr="00B62920">
        <w:rPr>
          <w:i/>
          <w:lang w:val="en-GB"/>
        </w:rPr>
        <w:t xml:space="preserve"> principles concerning the obligation to conduct an effective investigation under Article 2</w:t>
      </w:r>
    </w:p>
    <w:p w:rsidR="00C4755E" w:rsidRPr="00B62920" w:rsidRDefault="00C4755E" w:rsidP="009A6E2B">
      <w:pPr>
        <w:suppressAutoHyphens/>
        <w:autoSpaceDE w:val="0"/>
        <w:jc w:val="both"/>
        <w:rPr>
          <w:color w:val="000000"/>
        </w:rPr>
      </w:pPr>
      <w:bookmarkStart w:id="36" w:name="_Ref409081615"/>
    </w:p>
    <w:p w:rsidR="003E3F85" w:rsidRPr="00B62920" w:rsidRDefault="00127910" w:rsidP="003E3F85">
      <w:pPr>
        <w:numPr>
          <w:ilvl w:val="0"/>
          <w:numId w:val="2"/>
        </w:numPr>
        <w:tabs>
          <w:tab w:val="left" w:pos="709"/>
        </w:tabs>
        <w:suppressAutoHyphens/>
        <w:autoSpaceDE w:val="0"/>
        <w:jc w:val="both"/>
        <w:rPr>
          <w:lang w:val="en-GB"/>
        </w:rPr>
      </w:pPr>
      <w:bookmarkStart w:id="37" w:name="_Ref412809772"/>
      <w:r>
        <w:rPr>
          <w:color w:val="000000" w:themeColor="text1"/>
          <w:lang w:val="en-GB"/>
        </w:rPr>
        <w:t>T</w:t>
      </w:r>
      <w:r w:rsidR="00FC30AF" w:rsidRPr="00B62920">
        <w:rPr>
          <w:color w:val="000000" w:themeColor="text1"/>
          <w:lang w:val="en-GB"/>
        </w:rPr>
        <w:t xml:space="preserve">he </w:t>
      </w:r>
      <w:r w:rsidR="00FC30AF" w:rsidRPr="00B62920">
        <w:rPr>
          <w:color w:val="000000" w:themeColor="text1"/>
        </w:rPr>
        <w:t>Panel</w:t>
      </w:r>
      <w:r w:rsidR="00FC30AF" w:rsidRPr="00B62920">
        <w:rPr>
          <w:color w:val="000000" w:themeColor="text1"/>
          <w:lang w:val="en-GB"/>
        </w:rPr>
        <w:t xml:space="preserve"> notes that the positive obligation to investigate disappearances is widely accepted in international human rights law since at least the case of the Inter-American Court of Human Rights </w:t>
      </w:r>
      <w:proofErr w:type="spellStart"/>
      <w:r w:rsidR="00FC30AF" w:rsidRPr="00B62920">
        <w:rPr>
          <w:i/>
          <w:color w:val="000000" w:themeColor="text1"/>
          <w:lang w:val="en-GB"/>
        </w:rPr>
        <w:t>Velásquez</w:t>
      </w:r>
      <w:proofErr w:type="spellEnd"/>
      <w:r w:rsidR="00FC30AF" w:rsidRPr="00B62920">
        <w:rPr>
          <w:i/>
          <w:color w:val="000000" w:themeColor="text1"/>
          <w:lang w:val="en-GB"/>
        </w:rPr>
        <w:t xml:space="preserve">-Rodríguez </w:t>
      </w:r>
      <w:r w:rsidR="00FC30AF" w:rsidRPr="00B62920">
        <w:rPr>
          <w:color w:val="000000" w:themeColor="text1"/>
          <w:lang w:val="en-GB"/>
        </w:rPr>
        <w:t>(see Inter-American Court of Human Rights (</w:t>
      </w:r>
      <w:proofErr w:type="spellStart"/>
      <w:r w:rsidR="00FC30AF" w:rsidRPr="00B62920">
        <w:rPr>
          <w:color w:val="000000" w:themeColor="text1"/>
          <w:lang w:val="en-GB"/>
        </w:rPr>
        <w:t>IACtHR</w:t>
      </w:r>
      <w:proofErr w:type="spellEnd"/>
      <w:r w:rsidR="00FC30AF" w:rsidRPr="00B62920">
        <w:rPr>
          <w:color w:val="000000" w:themeColor="text1"/>
          <w:lang w:val="en-GB"/>
        </w:rPr>
        <w:t xml:space="preserve">), </w:t>
      </w:r>
      <w:proofErr w:type="spellStart"/>
      <w:r w:rsidR="00FC30AF" w:rsidRPr="00B62920">
        <w:rPr>
          <w:i/>
          <w:color w:val="000000" w:themeColor="text1"/>
          <w:lang w:val="en-GB"/>
        </w:rPr>
        <w:t>Velásquez</w:t>
      </w:r>
      <w:proofErr w:type="spellEnd"/>
      <w:r w:rsidR="00FC30AF" w:rsidRPr="00B62920">
        <w:rPr>
          <w:i/>
          <w:color w:val="000000" w:themeColor="text1"/>
          <w:lang w:val="en-GB"/>
        </w:rPr>
        <w:t>-Rodríguez v. Honduras</w:t>
      </w:r>
      <w:r w:rsidR="00FC30AF" w:rsidRPr="00B62920">
        <w:rPr>
          <w:color w:val="000000" w:themeColor="text1"/>
          <w:lang w:val="en-GB"/>
        </w:rPr>
        <w:t xml:space="preserve">, judgment of 29 July 1988, </w:t>
      </w:r>
      <w:proofErr w:type="gramStart"/>
      <w:r w:rsidR="00FC30AF" w:rsidRPr="00B62920">
        <w:rPr>
          <w:color w:val="000000" w:themeColor="text1"/>
          <w:lang w:val="en-GB"/>
        </w:rPr>
        <w:t>Series</w:t>
      </w:r>
      <w:proofErr w:type="gramEnd"/>
      <w:r w:rsidR="00FC30AF" w:rsidRPr="00B62920">
        <w:rPr>
          <w:color w:val="000000" w:themeColor="text1"/>
          <w:lang w:val="en-GB"/>
        </w:rPr>
        <w:t xml:space="preserve"> C No. 4). </w:t>
      </w:r>
      <w:r w:rsidR="00273478" w:rsidRPr="00B62920">
        <w:rPr>
          <w:lang w:val="en-GB"/>
        </w:rPr>
        <w:t>T</w:t>
      </w:r>
      <w:r w:rsidR="003E3F85" w:rsidRPr="00B62920">
        <w:rPr>
          <w:lang w:val="en-GB"/>
        </w:rPr>
        <w:t xml:space="preserve">he Panel </w:t>
      </w:r>
      <w:r w:rsidR="00FC30AF" w:rsidRPr="00B62920">
        <w:rPr>
          <w:lang w:val="en-GB"/>
        </w:rPr>
        <w:t xml:space="preserve">also </w:t>
      </w:r>
      <w:r w:rsidR="003E3F85" w:rsidRPr="00B62920">
        <w:rPr>
          <w:lang w:val="en-GB"/>
        </w:rPr>
        <w:t xml:space="preserve">notes that the positive obligation to investigate has been stated by the </w:t>
      </w:r>
      <w:r w:rsidR="00423598" w:rsidRPr="00B62920">
        <w:rPr>
          <w:lang w:val="en-GB"/>
        </w:rPr>
        <w:t>HRC</w:t>
      </w:r>
      <w:r w:rsidR="003E3F85" w:rsidRPr="00B62920">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B62920">
        <w:rPr>
          <w:i/>
          <w:lang w:val="en-GB"/>
        </w:rPr>
        <w:t xml:space="preserve">Mohamed El </w:t>
      </w:r>
      <w:proofErr w:type="spellStart"/>
      <w:r w:rsidR="003E3F85" w:rsidRPr="00B62920">
        <w:rPr>
          <w:i/>
          <w:lang w:val="en-GB"/>
        </w:rPr>
        <w:t>Awani</w:t>
      </w:r>
      <w:proofErr w:type="spellEnd"/>
      <w:r w:rsidR="003E3F85" w:rsidRPr="00B62920">
        <w:rPr>
          <w:i/>
          <w:lang w:val="en-GB"/>
        </w:rPr>
        <w:t>, v. Libyan Arab Jamahiriya</w:t>
      </w:r>
      <w:r w:rsidR="003E3F85" w:rsidRPr="00B62920">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B62920">
        <w:t xml:space="preserve">UN Document </w:t>
      </w:r>
      <w:r w:rsidR="003E3F85" w:rsidRPr="00B62920">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35"/>
      <w:bookmarkEnd w:id="36"/>
      <w:bookmarkEnd w:id="37"/>
      <w:r w:rsidR="003E3F85" w:rsidRPr="00B62920">
        <w:rPr>
          <w:lang w:val="en-GB"/>
        </w:rPr>
        <w:t xml:space="preserve">   </w:t>
      </w:r>
      <w:bookmarkStart w:id="38" w:name="_Ref347561805"/>
    </w:p>
    <w:p w:rsidR="003E3F85" w:rsidRPr="00B62920" w:rsidRDefault="003E3F85" w:rsidP="003E3F85">
      <w:pPr>
        <w:pStyle w:val="ListParagraph"/>
        <w:suppressAutoHyphens w:val="0"/>
        <w:ind w:left="360"/>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bookmarkStart w:id="39" w:name="_Ref366239860"/>
      <w:r w:rsidRPr="00B62920">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B62920">
        <w:rPr>
          <w:i/>
          <w:lang w:val="en-GB"/>
        </w:rPr>
        <w:t>mutatis mutandis</w:t>
      </w:r>
      <w:r w:rsidRPr="00B62920">
        <w:rPr>
          <w:lang w:val="en-GB"/>
        </w:rPr>
        <w:t xml:space="preserve">, ECtHR, </w:t>
      </w:r>
      <w:r w:rsidRPr="00B62920">
        <w:rPr>
          <w:i/>
          <w:lang w:val="en-GB"/>
        </w:rPr>
        <w:t>McCann and Others v. the United Kingdom</w:t>
      </w:r>
      <w:r w:rsidRPr="00B62920">
        <w:rPr>
          <w:lang w:val="en-GB"/>
        </w:rPr>
        <w:t xml:space="preserve">, judgment of 27 September 1995, § 161, Series A no. 324; and ECtHR, </w:t>
      </w:r>
      <w:r w:rsidRPr="00B62920">
        <w:rPr>
          <w:i/>
          <w:lang w:val="en-GB"/>
        </w:rPr>
        <w:t>Kaya v. Turkey</w:t>
      </w:r>
      <w:r w:rsidRPr="00B62920">
        <w:rPr>
          <w:lang w:val="en-GB"/>
        </w:rPr>
        <w:t xml:space="preserve">, judgment of 19 February 1998, § 86, Reports 1998-I; see also </w:t>
      </w:r>
      <w:proofErr w:type="spellStart"/>
      <w:r w:rsidRPr="00B62920">
        <w:rPr>
          <w:lang w:val="en-GB"/>
        </w:rPr>
        <w:t>ECtHR</w:t>
      </w:r>
      <w:proofErr w:type="spellEnd"/>
      <w:r w:rsidRPr="00B62920">
        <w:rPr>
          <w:lang w:val="en-GB"/>
        </w:rPr>
        <w:t xml:space="preserve">, </w:t>
      </w:r>
      <w:proofErr w:type="spellStart"/>
      <w:r w:rsidRPr="00B62920">
        <w:rPr>
          <w:i/>
          <w:lang w:val="en-GB"/>
        </w:rPr>
        <w:t>Jasinskis</w:t>
      </w:r>
      <w:proofErr w:type="spellEnd"/>
      <w:r w:rsidRPr="00B62920">
        <w:rPr>
          <w:i/>
          <w:lang w:val="en-GB"/>
        </w:rPr>
        <w:t xml:space="preserve"> v. Latvia</w:t>
      </w:r>
      <w:r w:rsidRPr="00B62920">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B62920">
        <w:rPr>
          <w:lang w:val="en-GB"/>
        </w:rPr>
        <w:t>ECtHR</w:t>
      </w:r>
      <w:proofErr w:type="spellEnd"/>
      <w:r w:rsidRPr="00B62920">
        <w:rPr>
          <w:lang w:val="en-GB"/>
        </w:rPr>
        <w:t xml:space="preserve">, </w:t>
      </w:r>
      <w:proofErr w:type="spellStart"/>
      <w:r w:rsidRPr="00B62920">
        <w:rPr>
          <w:i/>
          <w:lang w:val="en-GB"/>
        </w:rPr>
        <w:t>Kolevi</w:t>
      </w:r>
      <w:proofErr w:type="spellEnd"/>
      <w:r w:rsidRPr="00B62920">
        <w:rPr>
          <w:i/>
          <w:lang w:val="en-GB"/>
        </w:rPr>
        <w:t xml:space="preserve"> v. Bulgaria</w:t>
      </w:r>
      <w:r w:rsidRPr="00B62920">
        <w:rPr>
          <w:lang w:val="en-GB"/>
        </w:rPr>
        <w:t>, no. 1108/02, judgment of 5 November 2009, § 191).</w:t>
      </w:r>
      <w:bookmarkEnd w:id="38"/>
      <w:bookmarkEnd w:id="39"/>
    </w:p>
    <w:p w:rsidR="003E3F85" w:rsidRPr="00B62920" w:rsidRDefault="003E3F85" w:rsidP="003E3F85">
      <w:pPr>
        <w:pStyle w:val="ListParagraph"/>
        <w:tabs>
          <w:tab w:val="num" w:pos="567"/>
        </w:tabs>
        <w:suppressAutoHyphens w:val="0"/>
        <w:ind w:left="567" w:hanging="425"/>
        <w:contextualSpacing/>
        <w:jc w:val="bot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40" w:name="_Ref401245061"/>
      <w:r w:rsidRPr="00B62920">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B62920">
        <w:rPr>
          <w:lang w:val="en-GB"/>
        </w:rPr>
        <w:t>ECtHR</w:t>
      </w:r>
      <w:proofErr w:type="spellEnd"/>
      <w:r w:rsidRPr="00B62920">
        <w:rPr>
          <w:lang w:val="en-GB"/>
        </w:rPr>
        <w:t xml:space="preserve"> [GC], </w:t>
      </w:r>
      <w:proofErr w:type="spellStart"/>
      <w:r w:rsidRPr="00B62920">
        <w:rPr>
          <w:i/>
          <w:lang w:val="en-GB"/>
        </w:rPr>
        <w:t>Varnava</w:t>
      </w:r>
      <w:proofErr w:type="spellEnd"/>
      <w:r w:rsidRPr="00B62920">
        <w:rPr>
          <w:i/>
          <w:lang w:val="en-GB"/>
        </w:rPr>
        <w:t xml:space="preserve"> and Others v. Turkey</w:t>
      </w:r>
      <w:r w:rsidRPr="00B62920">
        <w:rPr>
          <w:lang w:val="en-GB"/>
        </w:rPr>
        <w:t xml:space="preserve">, cited in § </w:t>
      </w:r>
      <w:r w:rsidRPr="00B62920">
        <w:fldChar w:fldCharType="begin"/>
      </w:r>
      <w:r w:rsidRPr="00B62920">
        <w:instrText xml:space="preserve"> REF _Ref346123885 \r \h  \* MERGEFORMAT </w:instrText>
      </w:r>
      <w:r w:rsidRPr="00B62920">
        <w:fldChar w:fldCharType="separate"/>
      </w:r>
      <w:r w:rsidR="00C60385" w:rsidRPr="00C60385">
        <w:rPr>
          <w:lang w:val="en-GB"/>
        </w:rPr>
        <w:t>47</w:t>
      </w:r>
      <w:r w:rsidRPr="00B62920">
        <w:fldChar w:fldCharType="end"/>
      </w:r>
      <w:r w:rsidRPr="00B62920">
        <w:rPr>
          <w:lang w:val="en-GB"/>
        </w:rPr>
        <w:t xml:space="preserve"> above, at § 136</w:t>
      </w:r>
      <w:r w:rsidR="00423598" w:rsidRPr="00B62920">
        <w:rPr>
          <w:lang w:val="en-GB"/>
        </w:rPr>
        <w:t>,</w:t>
      </w:r>
      <w:r w:rsidR="00423598" w:rsidRPr="00B62920">
        <w:rPr>
          <w:i/>
          <w:iCs/>
          <w:lang w:val="en-GB"/>
        </w:rPr>
        <w:t xml:space="preserve"> </w:t>
      </w:r>
      <w:proofErr w:type="spellStart"/>
      <w:r w:rsidR="00423598" w:rsidRPr="00B62920">
        <w:rPr>
          <w:lang w:val="en-GB"/>
        </w:rPr>
        <w:t>ECtHR</w:t>
      </w:r>
      <w:proofErr w:type="spellEnd"/>
      <w:r w:rsidR="00423598" w:rsidRPr="00B62920">
        <w:rPr>
          <w:lang w:val="en-GB"/>
        </w:rPr>
        <w:t xml:space="preserve"> [GC], </w:t>
      </w:r>
      <w:proofErr w:type="spellStart"/>
      <w:r w:rsidR="00423598" w:rsidRPr="00B62920">
        <w:rPr>
          <w:i/>
          <w:iCs/>
          <w:lang w:val="en-GB"/>
        </w:rPr>
        <w:t>Mocanu</w:t>
      </w:r>
      <w:proofErr w:type="spellEnd"/>
      <w:r w:rsidR="00423598" w:rsidRPr="00B62920">
        <w:rPr>
          <w:i/>
          <w:iCs/>
          <w:lang w:val="en-GB"/>
        </w:rPr>
        <w:t xml:space="preserve"> and Others v. Romania</w:t>
      </w:r>
      <w:r w:rsidR="00423598" w:rsidRPr="00B62920">
        <w:rPr>
          <w:lang w:val="en-GB"/>
        </w:rPr>
        <w:t xml:space="preserve">, </w:t>
      </w:r>
      <w:proofErr w:type="spellStart"/>
      <w:r w:rsidR="00423598" w:rsidRPr="00B62920">
        <w:rPr>
          <w:lang w:val="en-GB"/>
        </w:rPr>
        <w:t>nos</w:t>
      </w:r>
      <w:proofErr w:type="spellEnd"/>
      <w:r w:rsidR="00423598" w:rsidRPr="00B62920">
        <w:rPr>
          <w:lang w:val="en-GB"/>
        </w:rPr>
        <w:t xml:space="preserve"> 10865/09, 45886/07 and 32431/08, judgment of 17 September 2014, § 317).</w:t>
      </w:r>
      <w:bookmarkEnd w:id="40"/>
    </w:p>
    <w:p w:rsidR="003E3F85" w:rsidRPr="00B62920" w:rsidRDefault="003E3F85" w:rsidP="003E3F85">
      <w:pPr>
        <w:pStyle w:val="ListParagraph"/>
        <w:tabs>
          <w:tab w:val="num" w:pos="567"/>
        </w:tabs>
        <w:suppressAutoHyphens w:val="0"/>
        <w:ind w:left="567" w:hanging="425"/>
        <w:contextualSpacing/>
        <w:jc w:val="both"/>
        <w:rPr>
          <w:lang w:val="en-GB"/>
        </w:rPr>
      </w:pPr>
    </w:p>
    <w:p w:rsidR="003E3F85" w:rsidRPr="00B62920" w:rsidRDefault="003E3F85" w:rsidP="00423598">
      <w:pPr>
        <w:pStyle w:val="ListParagraph"/>
        <w:numPr>
          <w:ilvl w:val="0"/>
          <w:numId w:val="2"/>
        </w:numPr>
        <w:jc w:val="both"/>
        <w:rPr>
          <w:lang w:val="en-GB" w:eastAsia="en-US"/>
        </w:rPr>
      </w:pPr>
      <w:bookmarkStart w:id="41" w:name="_Ref366240125"/>
      <w:r w:rsidRPr="00B62920">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B62920">
        <w:rPr>
          <w:lang w:val="en-GB"/>
        </w:rPr>
        <w:t>ECtHR</w:t>
      </w:r>
      <w:proofErr w:type="spellEnd"/>
      <w:r w:rsidRPr="00B62920">
        <w:rPr>
          <w:lang w:val="en-GB"/>
        </w:rPr>
        <w:t xml:space="preserve">, </w:t>
      </w:r>
      <w:r w:rsidRPr="00B62920">
        <w:rPr>
          <w:i/>
          <w:lang w:val="en-GB"/>
        </w:rPr>
        <w:t xml:space="preserve">Ahmet </w:t>
      </w:r>
      <w:proofErr w:type="spellStart"/>
      <w:r w:rsidRPr="00B62920">
        <w:rPr>
          <w:i/>
          <w:lang w:val="en-GB"/>
        </w:rPr>
        <w:t>Özkan</w:t>
      </w:r>
      <w:proofErr w:type="spellEnd"/>
      <w:r w:rsidRPr="00B62920">
        <w:rPr>
          <w:i/>
          <w:lang w:val="en-GB"/>
        </w:rPr>
        <w:t xml:space="preserve"> and Others v. Turkey</w:t>
      </w:r>
      <w:r w:rsidRPr="00B62920">
        <w:rPr>
          <w:lang w:val="en-GB"/>
        </w:rPr>
        <w:t xml:space="preserve">, no. 21689/93, judgment of 6 April 2004, § 310, see also </w:t>
      </w:r>
      <w:proofErr w:type="spellStart"/>
      <w:r w:rsidRPr="00B62920">
        <w:rPr>
          <w:lang w:val="en-GB"/>
        </w:rPr>
        <w:t>ECtHR</w:t>
      </w:r>
      <w:proofErr w:type="spellEnd"/>
      <w:r w:rsidRPr="00B62920">
        <w:rPr>
          <w:lang w:val="en-GB"/>
        </w:rPr>
        <w:t xml:space="preserve">, </w:t>
      </w:r>
      <w:proofErr w:type="spellStart"/>
      <w:r w:rsidRPr="00B62920">
        <w:rPr>
          <w:i/>
          <w:lang w:val="en-GB"/>
        </w:rPr>
        <w:t>Isayeva</w:t>
      </w:r>
      <w:proofErr w:type="spellEnd"/>
      <w:r w:rsidRPr="00B62920">
        <w:rPr>
          <w:i/>
          <w:lang w:val="en-GB"/>
        </w:rPr>
        <w:t xml:space="preserve"> v. Russia</w:t>
      </w:r>
      <w:r w:rsidRPr="00B62920">
        <w:rPr>
          <w:lang w:val="en-GB"/>
        </w:rPr>
        <w:t>, no. 57950/00, judg</w:t>
      </w:r>
      <w:r w:rsidR="00423598" w:rsidRPr="00B62920">
        <w:rPr>
          <w:lang w:val="en-GB"/>
        </w:rPr>
        <w:t>ment of 24 February 2005, § 210,</w:t>
      </w:r>
      <w:r w:rsidR="00423598" w:rsidRPr="00B62920">
        <w:rPr>
          <w:lang w:val="en-GB" w:eastAsia="en-US"/>
        </w:rPr>
        <w:t xml:space="preserve"> </w:t>
      </w:r>
      <w:proofErr w:type="spellStart"/>
      <w:r w:rsidR="00423598" w:rsidRPr="00B62920">
        <w:rPr>
          <w:lang w:val="en-GB" w:eastAsia="en-US"/>
        </w:rPr>
        <w:t>ECtHR</w:t>
      </w:r>
      <w:proofErr w:type="spellEnd"/>
      <w:r w:rsidR="00423598" w:rsidRPr="00B62920">
        <w:rPr>
          <w:lang w:val="en-GB" w:eastAsia="en-US"/>
        </w:rPr>
        <w:t xml:space="preserve"> [GC], </w:t>
      </w:r>
      <w:proofErr w:type="spellStart"/>
      <w:r w:rsidR="00423598" w:rsidRPr="00B62920">
        <w:rPr>
          <w:i/>
          <w:lang w:val="en-GB" w:eastAsia="en-US"/>
        </w:rPr>
        <w:t>Mocanu</w:t>
      </w:r>
      <w:proofErr w:type="spellEnd"/>
      <w:r w:rsidR="00423598" w:rsidRPr="00B62920">
        <w:rPr>
          <w:i/>
          <w:lang w:val="en-GB" w:eastAsia="en-US"/>
        </w:rPr>
        <w:t xml:space="preserve"> and Others v. Romania</w:t>
      </w:r>
      <w:r w:rsidR="00423598" w:rsidRPr="00B62920">
        <w:rPr>
          <w:lang w:val="en-GB" w:eastAsia="en-US"/>
        </w:rPr>
        <w:t>, cited above, § 321).</w:t>
      </w:r>
      <w:bookmarkStart w:id="42" w:name="_Ref346724174"/>
      <w:bookmarkEnd w:id="41"/>
    </w:p>
    <w:p w:rsidR="003E3F85" w:rsidRPr="00B62920" w:rsidRDefault="003E3F85" w:rsidP="003E3F85">
      <w:pPr>
        <w:pStyle w:val="ListParagraph"/>
        <w:tabs>
          <w:tab w:val="num" w:pos="567"/>
        </w:tabs>
        <w:ind w:left="567" w:hanging="425"/>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43" w:name="_Ref366239979"/>
      <w:r w:rsidRPr="00B62920">
        <w:rPr>
          <w:lang w:val="en-GB"/>
        </w:rPr>
        <w:t>Setting out the standards of an effective investigat</w:t>
      </w:r>
      <w:r w:rsidR="00CD6EFB" w:rsidRPr="00B62920">
        <w:rPr>
          <w:lang w:val="en-GB"/>
        </w:rPr>
        <w:t xml:space="preserve">ion, the Court has stated that </w:t>
      </w:r>
      <w:r w:rsidRPr="00B62920">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B62920">
        <w:rPr>
          <w:lang w:val="en-GB"/>
        </w:rPr>
        <w:t>punishment of those responsible</w:t>
      </w:r>
      <w:r w:rsidRPr="00B62920">
        <w:rPr>
          <w:lang w:val="en-GB"/>
        </w:rPr>
        <w:t xml:space="preserve"> (see </w:t>
      </w:r>
      <w:proofErr w:type="spellStart"/>
      <w:r w:rsidRPr="00B62920">
        <w:rPr>
          <w:lang w:val="en-GB"/>
        </w:rPr>
        <w:t>ECtHR</w:t>
      </w:r>
      <w:proofErr w:type="spellEnd"/>
      <w:r w:rsidRPr="00B62920">
        <w:rPr>
          <w:lang w:val="en-GB"/>
        </w:rPr>
        <w:t xml:space="preserve"> [GC], </w:t>
      </w:r>
      <w:proofErr w:type="spellStart"/>
      <w:r w:rsidRPr="00B62920">
        <w:rPr>
          <w:i/>
          <w:lang w:val="en-GB"/>
        </w:rPr>
        <w:t>Varnava</w:t>
      </w:r>
      <w:proofErr w:type="spellEnd"/>
      <w:r w:rsidRPr="00B62920">
        <w:rPr>
          <w:i/>
          <w:lang w:val="en-GB"/>
        </w:rPr>
        <w:t xml:space="preserve"> and Others v. </w:t>
      </w:r>
      <w:r w:rsidRPr="00B62920">
        <w:rPr>
          <w:lang w:val="en-GB"/>
        </w:rPr>
        <w:t xml:space="preserve">Turkey, cited in § </w:t>
      </w:r>
      <w:r w:rsidRPr="00B62920">
        <w:fldChar w:fldCharType="begin"/>
      </w:r>
      <w:r w:rsidRPr="00B62920">
        <w:instrText xml:space="preserve"> REF _Ref346123885 \r \h  \* MERGEFORMAT </w:instrText>
      </w:r>
      <w:r w:rsidRPr="00B62920">
        <w:fldChar w:fldCharType="separate"/>
      </w:r>
      <w:r w:rsidR="00C60385" w:rsidRPr="00C60385">
        <w:rPr>
          <w:lang w:val="en-GB"/>
        </w:rPr>
        <w:t>47</w:t>
      </w:r>
      <w:r w:rsidRPr="00B62920">
        <w:fldChar w:fldCharType="end"/>
      </w:r>
      <w:r w:rsidRPr="00B62920">
        <w:rPr>
          <w:lang w:val="en-GB"/>
        </w:rPr>
        <w:t xml:space="preserve"> above, at § 191; see also </w:t>
      </w:r>
      <w:proofErr w:type="spellStart"/>
      <w:r w:rsidRPr="00B62920">
        <w:rPr>
          <w:lang w:val="en-GB"/>
        </w:rPr>
        <w:t>ECtHR</w:t>
      </w:r>
      <w:proofErr w:type="spellEnd"/>
      <w:r w:rsidRPr="00B62920">
        <w:rPr>
          <w:lang w:val="en-GB"/>
        </w:rPr>
        <w:t xml:space="preserve">, </w:t>
      </w:r>
      <w:proofErr w:type="spellStart"/>
      <w:r w:rsidRPr="00B62920">
        <w:rPr>
          <w:i/>
          <w:lang w:val="en-GB"/>
        </w:rPr>
        <w:t>Palić</w:t>
      </w:r>
      <w:proofErr w:type="spellEnd"/>
      <w:r w:rsidRPr="00B62920">
        <w:rPr>
          <w:i/>
          <w:lang w:val="en-GB"/>
        </w:rPr>
        <w:t xml:space="preserve"> v. Bosnia and Herzegovina</w:t>
      </w:r>
      <w:r w:rsidRPr="00B62920">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B62920">
        <w:rPr>
          <w:lang w:val="en-GB"/>
        </w:rPr>
        <w:t>ECtHR</w:t>
      </w:r>
      <w:proofErr w:type="spellEnd"/>
      <w:r w:rsidRPr="00B62920">
        <w:rPr>
          <w:lang w:val="en-GB"/>
        </w:rPr>
        <w:t xml:space="preserve">, </w:t>
      </w:r>
      <w:r w:rsidRPr="00B62920">
        <w:rPr>
          <w:i/>
          <w:lang w:val="en-GB"/>
        </w:rPr>
        <w:t xml:space="preserve">Ahmet </w:t>
      </w:r>
      <w:proofErr w:type="spellStart"/>
      <w:r w:rsidRPr="00B62920">
        <w:rPr>
          <w:i/>
          <w:lang w:val="en-GB"/>
        </w:rPr>
        <w:t>Özkan</w:t>
      </w:r>
      <w:proofErr w:type="spellEnd"/>
      <w:r w:rsidRPr="00B62920">
        <w:rPr>
          <w:i/>
          <w:lang w:val="en-GB"/>
        </w:rPr>
        <w:t xml:space="preserve"> and Others v. Turkey</w:t>
      </w:r>
      <w:r w:rsidRPr="00B62920">
        <w:rPr>
          <w:lang w:val="en-GB"/>
        </w:rPr>
        <w:t xml:space="preserve">, cited above, at § 312, and </w:t>
      </w:r>
      <w:proofErr w:type="spellStart"/>
      <w:r w:rsidRPr="00B62920">
        <w:rPr>
          <w:lang w:val="en-GB"/>
        </w:rPr>
        <w:t>ECtHR</w:t>
      </w:r>
      <w:proofErr w:type="spellEnd"/>
      <w:r w:rsidRPr="00B62920">
        <w:rPr>
          <w:lang w:val="en-GB"/>
        </w:rPr>
        <w:t>,</w:t>
      </w:r>
      <w:r w:rsidRPr="00B62920">
        <w:rPr>
          <w:i/>
          <w:lang w:val="en-GB"/>
        </w:rPr>
        <w:t xml:space="preserve"> </w:t>
      </w:r>
      <w:proofErr w:type="spellStart"/>
      <w:r w:rsidRPr="00B62920">
        <w:rPr>
          <w:i/>
          <w:lang w:val="en-GB"/>
        </w:rPr>
        <w:t>Isayeva</w:t>
      </w:r>
      <w:proofErr w:type="spellEnd"/>
      <w:r w:rsidRPr="00B62920">
        <w:rPr>
          <w:i/>
          <w:lang w:val="en-GB"/>
        </w:rPr>
        <w:t xml:space="preserve"> v. Russia</w:t>
      </w:r>
      <w:r w:rsidRPr="00B62920">
        <w:rPr>
          <w:lang w:val="en-GB"/>
        </w:rPr>
        <w:t>, cited above, at § 212).</w:t>
      </w:r>
      <w:bookmarkEnd w:id="42"/>
      <w:bookmarkEnd w:id="43"/>
      <w:r w:rsidRPr="00B62920">
        <w:rPr>
          <w:lang w:val="en-GB"/>
        </w:rPr>
        <w:t xml:space="preserve"> </w:t>
      </w:r>
    </w:p>
    <w:p w:rsidR="003E3F85" w:rsidRPr="00B62920" w:rsidRDefault="003E3F85" w:rsidP="003E3F85">
      <w:pPr>
        <w:pStyle w:val="ListParagraph"/>
        <w:suppressAutoHyphens w:val="0"/>
        <w:ind w:left="360"/>
        <w:contextualSpacing/>
        <w:jc w:val="both"/>
        <w:rPr>
          <w:lang w:val="en-GB" w:eastAsia="en-US"/>
        </w:rPr>
      </w:pPr>
    </w:p>
    <w:p w:rsidR="00423598" w:rsidRPr="00B62920" w:rsidRDefault="003E3F85" w:rsidP="00423598">
      <w:pPr>
        <w:pStyle w:val="ListParagraph"/>
        <w:numPr>
          <w:ilvl w:val="0"/>
          <w:numId w:val="2"/>
        </w:numPr>
        <w:jc w:val="both"/>
        <w:rPr>
          <w:lang w:val="en-GB" w:eastAsia="en-US"/>
        </w:rPr>
      </w:pPr>
      <w:bookmarkStart w:id="44" w:name="_Ref373832219"/>
      <w:bookmarkStart w:id="45" w:name="_Ref401245516"/>
      <w:r w:rsidRPr="00B62920">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B62920">
        <w:rPr>
          <w:lang w:val="en-GB"/>
        </w:rPr>
        <w:t>ECtHR</w:t>
      </w:r>
      <w:proofErr w:type="spellEnd"/>
      <w:r w:rsidRPr="00B62920">
        <w:rPr>
          <w:lang w:val="en-GB"/>
        </w:rPr>
        <w:t xml:space="preserve">, </w:t>
      </w:r>
      <w:proofErr w:type="spellStart"/>
      <w:r w:rsidRPr="00B62920">
        <w:rPr>
          <w:i/>
          <w:lang w:val="en-GB"/>
        </w:rPr>
        <w:t>Kolevi</w:t>
      </w:r>
      <w:proofErr w:type="spellEnd"/>
      <w:r w:rsidRPr="00B62920">
        <w:rPr>
          <w:i/>
          <w:lang w:val="en-GB"/>
        </w:rPr>
        <w:t xml:space="preserve"> v. Bulgaria</w:t>
      </w:r>
      <w:r w:rsidRPr="00B62920">
        <w:rPr>
          <w:lang w:val="en-GB"/>
        </w:rPr>
        <w:t xml:space="preserve">, cited in § </w:t>
      </w:r>
      <w:r w:rsidRPr="00B62920">
        <w:fldChar w:fldCharType="begin"/>
      </w:r>
      <w:r w:rsidRPr="00B62920">
        <w:instrText xml:space="preserve"> REF _Ref366239860 \r \h  \* MERGEFORMAT </w:instrText>
      </w:r>
      <w:r w:rsidRPr="00B62920">
        <w:fldChar w:fldCharType="separate"/>
      </w:r>
      <w:r w:rsidR="00C60385" w:rsidRPr="00C60385">
        <w:rPr>
          <w:lang w:val="en-GB"/>
        </w:rPr>
        <w:t>73</w:t>
      </w:r>
      <w:r w:rsidRPr="00B62920">
        <w:fldChar w:fldCharType="end"/>
      </w:r>
      <w:r w:rsidRPr="00B62920">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44"/>
      <w:r w:rsidR="00423598" w:rsidRPr="00B62920">
        <w:rPr>
          <w:lang w:val="en-GB"/>
        </w:rPr>
        <w:t xml:space="preserve"> </w:t>
      </w:r>
      <w:r w:rsidR="00423598" w:rsidRPr="00B62920">
        <w:rPr>
          <w:color w:val="000000"/>
          <w:lang w:val="en-GB"/>
        </w:rPr>
        <w:t xml:space="preserve">(see </w:t>
      </w:r>
      <w:proofErr w:type="spellStart"/>
      <w:r w:rsidR="00423598" w:rsidRPr="00B62920">
        <w:rPr>
          <w:color w:val="000000"/>
          <w:lang w:val="en-GB"/>
        </w:rPr>
        <w:t>ECtHR</w:t>
      </w:r>
      <w:proofErr w:type="spellEnd"/>
      <w:r w:rsidR="00423598" w:rsidRPr="00B62920">
        <w:rPr>
          <w:color w:val="000000"/>
          <w:lang w:val="en-GB"/>
        </w:rPr>
        <w:t xml:space="preserve">, </w:t>
      </w:r>
      <w:proofErr w:type="spellStart"/>
      <w:r w:rsidR="00423598" w:rsidRPr="00B62920">
        <w:rPr>
          <w:i/>
          <w:color w:val="000000"/>
          <w:lang w:val="en-GB"/>
        </w:rPr>
        <w:t>Velcea</w:t>
      </w:r>
      <w:proofErr w:type="spellEnd"/>
      <w:r w:rsidR="00423598" w:rsidRPr="00B62920">
        <w:rPr>
          <w:i/>
          <w:color w:val="000000"/>
          <w:lang w:val="en-GB"/>
        </w:rPr>
        <w:t xml:space="preserve"> and </w:t>
      </w:r>
      <w:proofErr w:type="spellStart"/>
      <w:r w:rsidR="00423598" w:rsidRPr="00B62920">
        <w:rPr>
          <w:i/>
          <w:color w:val="000000"/>
          <w:lang w:val="en-GB"/>
        </w:rPr>
        <w:t>Maz</w:t>
      </w:r>
      <w:r w:rsidR="00423598" w:rsidRPr="00B62920">
        <w:rPr>
          <w:i/>
          <w:lang w:val="en-GB"/>
        </w:rPr>
        <w:t>ăre</w:t>
      </w:r>
      <w:proofErr w:type="spellEnd"/>
      <w:r w:rsidR="00423598" w:rsidRPr="00B62920">
        <w:rPr>
          <w:i/>
          <w:lang w:val="en-GB"/>
        </w:rPr>
        <w:t xml:space="preserve"> v. Romania</w:t>
      </w:r>
      <w:r w:rsidR="00423598" w:rsidRPr="00B62920">
        <w:rPr>
          <w:lang w:val="en-GB"/>
        </w:rPr>
        <w:t xml:space="preserve">, no. 64301/01, judgment of 1 December 2009, § 105). At the same time, </w:t>
      </w:r>
      <w:r w:rsidR="00423598" w:rsidRPr="00B62920">
        <w:rPr>
          <w:rStyle w:val="sb8d990e2"/>
        </w:rPr>
        <w:t>the authorities must always make a serious attempt to find out what happened and should not rely on hasty or ill-founded conclusions to close their investigation</w:t>
      </w:r>
      <w:r w:rsidR="00423598" w:rsidRPr="00B62920">
        <w:rPr>
          <w:rStyle w:val="sb8d990e2"/>
          <w:color w:val="FF0000"/>
        </w:rPr>
        <w:t xml:space="preserve"> </w:t>
      </w:r>
      <w:r w:rsidR="00423598" w:rsidRPr="00B62920">
        <w:rPr>
          <w:lang w:val="en-GB" w:eastAsia="en-US"/>
        </w:rPr>
        <w:t xml:space="preserve">(see </w:t>
      </w:r>
      <w:proofErr w:type="spellStart"/>
      <w:r w:rsidR="00423598" w:rsidRPr="00B62920">
        <w:rPr>
          <w:lang w:val="en-GB" w:eastAsia="en-US"/>
        </w:rPr>
        <w:t>ECtHR</w:t>
      </w:r>
      <w:proofErr w:type="spellEnd"/>
      <w:r w:rsidR="00423598" w:rsidRPr="00B62920">
        <w:rPr>
          <w:lang w:val="en-GB" w:eastAsia="en-US"/>
        </w:rPr>
        <w:t xml:space="preserve"> [GC], </w:t>
      </w:r>
      <w:r w:rsidR="00993514" w:rsidRPr="00B62920">
        <w:rPr>
          <w:i/>
          <w:lang w:val="en-GB" w:eastAsia="en-US"/>
        </w:rPr>
        <w:t>El-</w:t>
      </w:r>
      <w:proofErr w:type="spellStart"/>
      <w:r w:rsidR="00993514" w:rsidRPr="00B62920">
        <w:rPr>
          <w:i/>
          <w:lang w:val="en-GB" w:eastAsia="en-US"/>
        </w:rPr>
        <w:t>Masri</w:t>
      </w:r>
      <w:proofErr w:type="spellEnd"/>
      <w:r w:rsidR="00993514" w:rsidRPr="00B62920">
        <w:rPr>
          <w:i/>
          <w:lang w:val="en-GB" w:eastAsia="en-US"/>
        </w:rPr>
        <w:t xml:space="preserve"> v. “t</w:t>
      </w:r>
      <w:r w:rsidR="00713D84" w:rsidRPr="00B62920">
        <w:rPr>
          <w:i/>
          <w:lang w:val="en-GB" w:eastAsia="en-US"/>
        </w:rPr>
        <w:t>he f</w:t>
      </w:r>
      <w:r w:rsidR="00423598" w:rsidRPr="00B62920">
        <w:rPr>
          <w:i/>
          <w:lang w:val="en-GB" w:eastAsia="en-US"/>
        </w:rPr>
        <w:t>ormer Yugoslav Republic of Macedonia”</w:t>
      </w:r>
      <w:r w:rsidR="00423598" w:rsidRPr="00B62920">
        <w:rPr>
          <w:lang w:val="en-GB" w:eastAsia="en-US"/>
        </w:rPr>
        <w:t xml:space="preserve">, no. 39630/09, judgment of 13 December 2012, § 183; </w:t>
      </w:r>
      <w:proofErr w:type="spellStart"/>
      <w:r w:rsidR="00423598" w:rsidRPr="00B62920">
        <w:rPr>
          <w:lang w:val="en-GB" w:eastAsia="en-US"/>
        </w:rPr>
        <w:t>ECtHR</w:t>
      </w:r>
      <w:proofErr w:type="spellEnd"/>
      <w:r w:rsidR="00423598" w:rsidRPr="00B62920">
        <w:rPr>
          <w:lang w:val="en-GB" w:eastAsia="en-US"/>
        </w:rPr>
        <w:t xml:space="preserve"> [GC], </w:t>
      </w:r>
      <w:proofErr w:type="spellStart"/>
      <w:r w:rsidR="00423598" w:rsidRPr="00B62920">
        <w:rPr>
          <w:i/>
          <w:lang w:val="en-GB" w:eastAsia="en-US"/>
        </w:rPr>
        <w:t>Mocanu</w:t>
      </w:r>
      <w:proofErr w:type="spellEnd"/>
      <w:r w:rsidR="00423598" w:rsidRPr="00B62920">
        <w:rPr>
          <w:i/>
          <w:lang w:val="en-GB" w:eastAsia="en-US"/>
        </w:rPr>
        <w:t xml:space="preserve"> and Others v. Romania</w:t>
      </w:r>
      <w:r w:rsidR="00423598" w:rsidRPr="00B62920">
        <w:rPr>
          <w:lang w:val="en-GB" w:eastAsia="en-US"/>
        </w:rPr>
        <w:t xml:space="preserve">, cited in § </w:t>
      </w:r>
      <w:r w:rsidR="00423598" w:rsidRPr="00B62920">
        <w:rPr>
          <w:lang w:val="en-GB" w:eastAsia="en-US"/>
        </w:rPr>
        <w:fldChar w:fldCharType="begin"/>
      </w:r>
      <w:r w:rsidR="00423598" w:rsidRPr="00B62920">
        <w:rPr>
          <w:lang w:val="en-GB" w:eastAsia="en-US"/>
        </w:rPr>
        <w:instrText xml:space="preserve"> REF _Ref401245061 \r \h </w:instrText>
      </w:r>
      <w:r w:rsidR="00393E7A" w:rsidRPr="00B62920">
        <w:rPr>
          <w:lang w:val="en-GB" w:eastAsia="en-US"/>
        </w:rPr>
        <w:instrText xml:space="preserve"> \* MERGEFORMAT </w:instrText>
      </w:r>
      <w:r w:rsidR="00423598" w:rsidRPr="00B62920">
        <w:rPr>
          <w:lang w:val="en-GB" w:eastAsia="en-US"/>
        </w:rPr>
      </w:r>
      <w:r w:rsidR="00423598" w:rsidRPr="00B62920">
        <w:rPr>
          <w:lang w:val="en-GB" w:eastAsia="en-US"/>
        </w:rPr>
        <w:fldChar w:fldCharType="separate"/>
      </w:r>
      <w:r w:rsidR="00C60385">
        <w:rPr>
          <w:lang w:val="en-GB" w:eastAsia="en-US"/>
        </w:rPr>
        <w:t>74</w:t>
      </w:r>
      <w:r w:rsidR="00423598" w:rsidRPr="00B62920">
        <w:rPr>
          <w:lang w:val="en-GB" w:eastAsia="en-US"/>
        </w:rPr>
        <w:fldChar w:fldCharType="end"/>
      </w:r>
      <w:r w:rsidR="00423598" w:rsidRPr="00B62920">
        <w:rPr>
          <w:lang w:val="en-GB" w:eastAsia="en-US"/>
        </w:rPr>
        <w:t xml:space="preserve"> above, at § 322).</w:t>
      </w:r>
      <w:bookmarkEnd w:id="45"/>
    </w:p>
    <w:p w:rsidR="003E3F85" w:rsidRPr="00B62920" w:rsidRDefault="003E3F85" w:rsidP="00423598">
      <w:pPr>
        <w:tabs>
          <w:tab w:val="left" w:pos="709"/>
        </w:tabs>
        <w:suppressAutoHyphens/>
        <w:autoSpaceDE w:val="0"/>
        <w:ind w:left="360"/>
        <w:jc w:val="bot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46" w:name="_Ref404684740"/>
      <w:r w:rsidRPr="00B62920">
        <w:rPr>
          <w:rStyle w:val="sb8d990e2"/>
        </w:rPr>
        <w:t xml:space="preserve">A requirement of promptness and reasonable expedition is implicit in this context. Even where there may be obstacles or difficulties which prevent progress in an </w:t>
      </w:r>
      <w:bookmarkStart w:id="47" w:name="HIT98"/>
      <w:bookmarkEnd w:id="47"/>
      <w:r w:rsidRPr="00B62920">
        <w:rPr>
          <w:rStyle w:val="sb8d990e2"/>
        </w:rPr>
        <w:t xml:space="preserve">investigation in a particular situation, a </w:t>
      </w:r>
      <w:bookmarkStart w:id="48" w:name="HIT99"/>
      <w:bookmarkEnd w:id="48"/>
      <w:r w:rsidRPr="00B62920">
        <w:rPr>
          <w:rStyle w:val="sb8d990e2"/>
        </w:rPr>
        <w:t>prompt response by the authorities is vital in maintaining public confidence in their adherence to the rule of law and in preventing any appearance of collusion in or tolerance of unlawful acts (see ECtHR,</w:t>
      </w:r>
      <w:r w:rsidRPr="00B62920">
        <w:rPr>
          <w:rStyle w:val="s6b621b36"/>
        </w:rPr>
        <w:t xml:space="preserve"> </w:t>
      </w:r>
      <w:r w:rsidRPr="00B62920">
        <w:rPr>
          <w:rStyle w:val="s6b621b36"/>
          <w:i/>
        </w:rPr>
        <w:t>Paul and Audrey Edwards</w:t>
      </w:r>
      <w:r w:rsidRPr="00B62920">
        <w:rPr>
          <w:rStyle w:val="sb8d990e2"/>
        </w:rPr>
        <w:t xml:space="preserve"> </w:t>
      </w:r>
      <w:r w:rsidRPr="00B62920">
        <w:rPr>
          <w:i/>
        </w:rPr>
        <w:t>v. the United Kingdom</w:t>
      </w:r>
      <w:r w:rsidRPr="00B62920">
        <w:t xml:space="preserve">, no. 46477/99, judgment of 14 March 2002, § 72, </w:t>
      </w:r>
      <w:proofErr w:type="spellStart"/>
      <w:r w:rsidR="00423598" w:rsidRPr="00B62920">
        <w:t>ECtHR</w:t>
      </w:r>
      <w:proofErr w:type="spellEnd"/>
      <w:r w:rsidR="00423598" w:rsidRPr="00B62920">
        <w:t xml:space="preserve"> [GC], </w:t>
      </w:r>
      <w:proofErr w:type="spellStart"/>
      <w:r w:rsidR="00423598" w:rsidRPr="00B62920">
        <w:rPr>
          <w:i/>
        </w:rPr>
        <w:t>Mocanu</w:t>
      </w:r>
      <w:proofErr w:type="spellEnd"/>
      <w:r w:rsidR="00423598" w:rsidRPr="00B62920">
        <w:rPr>
          <w:i/>
        </w:rPr>
        <w:t xml:space="preserve"> and Others v. Romania</w:t>
      </w:r>
      <w:r w:rsidR="00423598" w:rsidRPr="00B62920">
        <w:t xml:space="preserve">, cited in § </w:t>
      </w:r>
      <w:r w:rsidR="00423598" w:rsidRPr="00B62920">
        <w:fldChar w:fldCharType="begin"/>
      </w:r>
      <w:r w:rsidR="00423598" w:rsidRPr="00B62920">
        <w:instrText xml:space="preserve"> REF _Ref401245061 \r \h </w:instrText>
      </w:r>
      <w:r w:rsidR="00393E7A" w:rsidRPr="00B62920">
        <w:instrText xml:space="preserve"> \* MERGEFORMAT </w:instrText>
      </w:r>
      <w:r w:rsidR="00423598" w:rsidRPr="00B62920">
        <w:fldChar w:fldCharType="separate"/>
      </w:r>
      <w:r w:rsidR="00C60385">
        <w:t>74</w:t>
      </w:r>
      <w:r w:rsidR="00423598" w:rsidRPr="00B62920">
        <w:fldChar w:fldCharType="end"/>
      </w:r>
      <w:r w:rsidR="00423598" w:rsidRPr="00B62920">
        <w:t xml:space="preserve"> above, at § 323</w:t>
      </w:r>
      <w:r w:rsidRPr="00B62920">
        <w:t>).</w:t>
      </w:r>
      <w:bookmarkEnd w:id="46"/>
    </w:p>
    <w:p w:rsidR="003E3F85" w:rsidRPr="00B62920" w:rsidRDefault="003E3F85" w:rsidP="003E3F85">
      <w:pPr>
        <w:tabs>
          <w:tab w:val="num" w:pos="567"/>
        </w:tabs>
        <w:ind w:left="567" w:hanging="425"/>
        <w:contextualSpacing/>
        <w:jc w:val="bot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49" w:name="_Ref373950745"/>
      <w:r w:rsidRPr="00B62920">
        <w:rPr>
          <w:lang w:val="en-GB"/>
        </w:rPr>
        <w:t>Specifically with regard to persons disappeared and later found dead,</w:t>
      </w:r>
      <w:r w:rsidR="00DB4BC9" w:rsidRPr="00B62920">
        <w:rPr>
          <w:lang w:val="en-GB"/>
        </w:rPr>
        <w:t xml:space="preserve"> </w:t>
      </w:r>
      <w:r w:rsidRPr="00B62920">
        <w:rPr>
          <w:lang w:val="en-GB"/>
        </w:rPr>
        <w:t>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B62920">
        <w:rPr>
          <w:lang w:val="en-GB"/>
        </w:rPr>
        <w:t>ECtHR</w:t>
      </w:r>
      <w:proofErr w:type="spellEnd"/>
      <w:r w:rsidRPr="00B62920">
        <w:rPr>
          <w:lang w:val="en-GB"/>
        </w:rPr>
        <w:t xml:space="preserve">, </w:t>
      </w:r>
      <w:proofErr w:type="spellStart"/>
      <w:r w:rsidRPr="00B62920">
        <w:rPr>
          <w:i/>
          <w:lang w:val="en-GB"/>
        </w:rPr>
        <w:t>Palić</w:t>
      </w:r>
      <w:proofErr w:type="spellEnd"/>
      <w:r w:rsidRPr="00B62920">
        <w:rPr>
          <w:i/>
          <w:lang w:val="en-GB"/>
        </w:rPr>
        <w:t xml:space="preserve"> v. Bosnia and Herzegovina</w:t>
      </w:r>
      <w:r w:rsidRPr="00B62920">
        <w:rPr>
          <w:lang w:val="en-GB"/>
        </w:rPr>
        <w:t xml:space="preserve">, cited in § </w:t>
      </w:r>
      <w:r w:rsidRPr="00B62920">
        <w:fldChar w:fldCharType="begin"/>
      </w:r>
      <w:r w:rsidRPr="00B62920">
        <w:instrText xml:space="preserve"> REF _Ref366239979 \r \h  \* MERGEFORMAT </w:instrText>
      </w:r>
      <w:r w:rsidRPr="00B62920">
        <w:fldChar w:fldCharType="separate"/>
      </w:r>
      <w:r w:rsidR="00C60385" w:rsidRPr="00C60385">
        <w:rPr>
          <w:lang w:val="en-GB"/>
        </w:rPr>
        <w:t>76</w:t>
      </w:r>
      <w:r w:rsidRPr="00B62920">
        <w:fldChar w:fldCharType="end"/>
      </w:r>
      <w:r w:rsidRPr="00B62920">
        <w:rPr>
          <w:lang w:val="en-GB"/>
        </w:rPr>
        <w:t xml:space="preserve"> above, § 46; in the same sense </w:t>
      </w:r>
      <w:proofErr w:type="spellStart"/>
      <w:r w:rsidRPr="00B62920">
        <w:rPr>
          <w:lang w:val="en-GB"/>
        </w:rPr>
        <w:t>ECtHR</w:t>
      </w:r>
      <w:proofErr w:type="spellEnd"/>
      <w:r w:rsidRPr="00B62920">
        <w:rPr>
          <w:lang w:val="en-GB"/>
        </w:rPr>
        <w:t xml:space="preserve"> [GC], </w:t>
      </w:r>
      <w:proofErr w:type="spellStart"/>
      <w:r w:rsidRPr="00B62920">
        <w:rPr>
          <w:i/>
          <w:lang w:val="en-GB"/>
        </w:rPr>
        <w:t>Varnava</w:t>
      </w:r>
      <w:proofErr w:type="spellEnd"/>
      <w:r w:rsidRPr="00B62920">
        <w:rPr>
          <w:i/>
          <w:lang w:val="en-GB"/>
        </w:rPr>
        <w:t xml:space="preserve"> and Others v. Turkey</w:t>
      </w:r>
      <w:r w:rsidRPr="00B62920">
        <w:rPr>
          <w:lang w:val="en-GB"/>
        </w:rPr>
        <w:t xml:space="preserve">, cited in § </w:t>
      </w:r>
      <w:r w:rsidRPr="00B62920">
        <w:fldChar w:fldCharType="begin"/>
      </w:r>
      <w:r w:rsidRPr="00B62920">
        <w:instrText xml:space="preserve"> REF _Ref346123885 \r \h  \* MERGEFORMAT </w:instrText>
      </w:r>
      <w:r w:rsidRPr="00B62920">
        <w:fldChar w:fldCharType="separate"/>
      </w:r>
      <w:r w:rsidR="00C60385" w:rsidRPr="00C60385">
        <w:rPr>
          <w:lang w:val="en-GB"/>
        </w:rPr>
        <w:t>47</w:t>
      </w:r>
      <w:r w:rsidRPr="00B62920">
        <w:fldChar w:fldCharType="end"/>
      </w:r>
      <w:r w:rsidRPr="00B62920">
        <w:rPr>
          <w:lang w:val="en-GB"/>
        </w:rPr>
        <w:t xml:space="preserve"> above, § 148, </w:t>
      </w:r>
      <w:proofErr w:type="spellStart"/>
      <w:r w:rsidRPr="00B62920">
        <w:rPr>
          <w:i/>
          <w:lang w:val="en-GB"/>
        </w:rPr>
        <w:t>Aslakhanova</w:t>
      </w:r>
      <w:proofErr w:type="spellEnd"/>
      <w:r w:rsidRPr="00B62920">
        <w:rPr>
          <w:i/>
          <w:lang w:val="en-GB"/>
        </w:rPr>
        <w:t xml:space="preserve"> and Others v. Russia</w:t>
      </w:r>
      <w:r w:rsidRPr="00B62920">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B62920">
        <w:rPr>
          <w:lang w:val="en-GB"/>
        </w:rPr>
        <w:t>disappearance and probable killing</w:t>
      </w:r>
      <w:r w:rsidRPr="00B62920">
        <w:rPr>
          <w:lang w:val="en-GB"/>
        </w:rPr>
        <w:t>, as well as to identify and prosecute any perpetrator of unlawful acts in that connection, will generally remain” (</w:t>
      </w:r>
      <w:proofErr w:type="spellStart"/>
      <w:r w:rsidRPr="00B62920">
        <w:rPr>
          <w:lang w:val="en-GB"/>
        </w:rPr>
        <w:t>ECtHR</w:t>
      </w:r>
      <w:proofErr w:type="spellEnd"/>
      <w:r w:rsidRPr="00B62920">
        <w:rPr>
          <w:lang w:val="en-GB"/>
        </w:rPr>
        <w:t xml:space="preserve">, </w:t>
      </w:r>
      <w:proofErr w:type="spellStart"/>
      <w:r w:rsidRPr="00B62920">
        <w:rPr>
          <w:i/>
          <w:lang w:val="en-GB"/>
        </w:rPr>
        <w:t>Palić</w:t>
      </w:r>
      <w:proofErr w:type="spellEnd"/>
      <w:r w:rsidRPr="00B62920">
        <w:rPr>
          <w:i/>
          <w:lang w:val="en-GB"/>
        </w:rPr>
        <w:t xml:space="preserve"> v. Bosnia and Herzegovina</w:t>
      </w:r>
      <w:r w:rsidRPr="00B62920">
        <w:rPr>
          <w:lang w:val="en-GB"/>
        </w:rPr>
        <w:t xml:space="preserve">, cited above, § 46; in the same sense </w:t>
      </w:r>
      <w:proofErr w:type="spellStart"/>
      <w:r w:rsidRPr="00B62920">
        <w:rPr>
          <w:lang w:val="en-GB"/>
        </w:rPr>
        <w:t>ECtHR</w:t>
      </w:r>
      <w:proofErr w:type="spellEnd"/>
      <w:r w:rsidRPr="00B62920">
        <w:rPr>
          <w:lang w:val="en-GB"/>
        </w:rPr>
        <w:t xml:space="preserve"> [GC], </w:t>
      </w:r>
      <w:proofErr w:type="spellStart"/>
      <w:r w:rsidRPr="00B62920">
        <w:rPr>
          <w:i/>
          <w:lang w:val="en-GB"/>
        </w:rPr>
        <w:t>Varnava</w:t>
      </w:r>
      <w:proofErr w:type="spellEnd"/>
      <w:r w:rsidRPr="00B62920">
        <w:rPr>
          <w:i/>
          <w:lang w:val="en-GB"/>
        </w:rPr>
        <w:t xml:space="preserve"> and Others v. Turkey</w:t>
      </w:r>
      <w:r w:rsidRPr="00B62920">
        <w:rPr>
          <w:lang w:val="en-GB"/>
        </w:rPr>
        <w:t xml:space="preserve">, cited above, § 145). While the location and the subsequent identification of the mortal remains of the victim may in themselves be significant achievements, the procedural obligation under Article 2 continues to exist (see </w:t>
      </w:r>
      <w:proofErr w:type="spellStart"/>
      <w:r w:rsidRPr="00B62920">
        <w:rPr>
          <w:lang w:val="en-GB"/>
        </w:rPr>
        <w:t>ECtHR</w:t>
      </w:r>
      <w:proofErr w:type="spellEnd"/>
      <w:r w:rsidRPr="00B62920">
        <w:rPr>
          <w:lang w:val="en-GB"/>
        </w:rPr>
        <w:t xml:space="preserve">, </w:t>
      </w:r>
      <w:proofErr w:type="spellStart"/>
      <w:r w:rsidRPr="00B62920">
        <w:rPr>
          <w:i/>
          <w:lang w:val="en-GB"/>
        </w:rPr>
        <w:t>Palić</w:t>
      </w:r>
      <w:proofErr w:type="spellEnd"/>
      <w:r w:rsidRPr="00B62920">
        <w:rPr>
          <w:i/>
          <w:lang w:val="en-GB"/>
        </w:rPr>
        <w:t xml:space="preserve"> v. Bosnia and Herzegovina</w:t>
      </w:r>
      <w:r w:rsidRPr="00B62920">
        <w:rPr>
          <w:lang w:val="en-GB"/>
        </w:rPr>
        <w:t>, cited above, § 64).</w:t>
      </w:r>
      <w:bookmarkStart w:id="50" w:name="_Ref347937166"/>
      <w:bookmarkEnd w:id="49"/>
    </w:p>
    <w:p w:rsidR="003E3F85" w:rsidRPr="00B62920" w:rsidRDefault="003E3F85" w:rsidP="003E3F85">
      <w:pPr>
        <w:pStyle w:val="ListParagraph"/>
        <w:suppressAutoHyphens w:val="0"/>
        <w:ind w:left="360"/>
        <w:contextualSpacing/>
        <w:jc w:val="both"/>
        <w:rPr>
          <w:lang w:val="en-GB" w:eastAsia="en-US"/>
        </w:rPr>
      </w:pPr>
    </w:p>
    <w:p w:rsidR="002437E9" w:rsidRPr="00B62920" w:rsidRDefault="003E3F85" w:rsidP="002437E9">
      <w:pPr>
        <w:numPr>
          <w:ilvl w:val="0"/>
          <w:numId w:val="2"/>
        </w:numPr>
        <w:tabs>
          <w:tab w:val="left" w:pos="709"/>
        </w:tabs>
        <w:suppressAutoHyphens/>
        <w:autoSpaceDE w:val="0"/>
        <w:jc w:val="both"/>
        <w:rPr>
          <w:lang w:val="en-GB"/>
        </w:rPr>
      </w:pPr>
      <w:bookmarkStart w:id="51" w:name="_Ref366240205"/>
      <w:r w:rsidRPr="00B62920">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00566413" w:rsidRPr="00B62920">
        <w:rPr>
          <w:lang w:val="en-GB"/>
        </w:rPr>
        <w:t>ECtHR</w:t>
      </w:r>
      <w:proofErr w:type="spellEnd"/>
      <w:r w:rsidR="00566413" w:rsidRPr="00B62920">
        <w:rPr>
          <w:lang w:val="en-GB"/>
        </w:rPr>
        <w:t xml:space="preserve">, </w:t>
      </w:r>
      <w:r w:rsidRPr="00B62920">
        <w:rPr>
          <w:i/>
          <w:lang w:val="en-GB"/>
        </w:rPr>
        <w:t xml:space="preserve">Ahmet </w:t>
      </w:r>
      <w:proofErr w:type="spellStart"/>
      <w:r w:rsidRPr="00B62920">
        <w:rPr>
          <w:i/>
          <w:lang w:val="en-GB"/>
        </w:rPr>
        <w:t>Özkan</w:t>
      </w:r>
      <w:proofErr w:type="spellEnd"/>
      <w:r w:rsidRPr="00B62920">
        <w:rPr>
          <w:i/>
          <w:lang w:val="en-GB"/>
        </w:rPr>
        <w:t xml:space="preserve"> and Others v. Turkey</w:t>
      </w:r>
      <w:r w:rsidRPr="00B62920">
        <w:rPr>
          <w:lang w:val="en-GB"/>
        </w:rPr>
        <w:t xml:space="preserve">, cited in § </w:t>
      </w:r>
      <w:r w:rsidRPr="00B62920">
        <w:fldChar w:fldCharType="begin"/>
      </w:r>
      <w:r w:rsidRPr="00B62920">
        <w:instrText xml:space="preserve"> REF _Ref366240125 \r \h  \* MERGEFORMAT </w:instrText>
      </w:r>
      <w:r w:rsidRPr="00B62920">
        <w:fldChar w:fldCharType="separate"/>
      </w:r>
      <w:r w:rsidR="00C60385" w:rsidRPr="00C60385">
        <w:rPr>
          <w:lang w:val="en-GB"/>
        </w:rPr>
        <w:t>75</w:t>
      </w:r>
      <w:r w:rsidRPr="00B62920">
        <w:fldChar w:fldCharType="end"/>
      </w:r>
      <w:r w:rsidRPr="00B62920">
        <w:rPr>
          <w:lang w:val="en-GB"/>
        </w:rPr>
        <w:t xml:space="preserve"> above, at §§ 311</w:t>
      </w:r>
      <w:r w:rsidRPr="00B62920">
        <w:rPr>
          <w:lang w:val="en-GB"/>
        </w:rPr>
        <w:noBreakHyphen/>
        <w:t xml:space="preserve">314; </w:t>
      </w:r>
      <w:proofErr w:type="spellStart"/>
      <w:r w:rsidR="00566413" w:rsidRPr="00B62920">
        <w:rPr>
          <w:lang w:val="en-GB"/>
        </w:rPr>
        <w:t>ECtHR</w:t>
      </w:r>
      <w:proofErr w:type="spellEnd"/>
      <w:r w:rsidR="00566413" w:rsidRPr="00B62920">
        <w:rPr>
          <w:lang w:val="en-GB"/>
        </w:rPr>
        <w:t xml:space="preserve">, </w:t>
      </w:r>
      <w:proofErr w:type="spellStart"/>
      <w:r w:rsidRPr="00B62920">
        <w:rPr>
          <w:i/>
          <w:lang w:val="en-GB"/>
        </w:rPr>
        <w:t>Isayeva</w:t>
      </w:r>
      <w:proofErr w:type="spellEnd"/>
      <w:r w:rsidRPr="00B62920">
        <w:rPr>
          <w:i/>
          <w:lang w:val="en-GB"/>
        </w:rPr>
        <w:t xml:space="preserve"> v. Russia</w:t>
      </w:r>
      <w:r w:rsidRPr="00B62920">
        <w:rPr>
          <w:lang w:val="en-GB"/>
        </w:rPr>
        <w:t xml:space="preserve">, cited in § </w:t>
      </w:r>
      <w:r w:rsidRPr="00B62920">
        <w:fldChar w:fldCharType="begin"/>
      </w:r>
      <w:r w:rsidRPr="00B62920">
        <w:instrText xml:space="preserve"> REF _Ref366240125 \r \h  \* MERGEFORMAT </w:instrText>
      </w:r>
      <w:r w:rsidRPr="00B62920">
        <w:fldChar w:fldCharType="separate"/>
      </w:r>
      <w:r w:rsidR="00C60385" w:rsidRPr="00C60385">
        <w:rPr>
          <w:lang w:val="en-GB"/>
        </w:rPr>
        <w:t>75</w:t>
      </w:r>
      <w:r w:rsidRPr="00B62920">
        <w:fldChar w:fldCharType="end"/>
      </w:r>
      <w:r w:rsidRPr="00B62920">
        <w:rPr>
          <w:lang w:val="en-GB"/>
        </w:rPr>
        <w:t xml:space="preserve"> above, §§ 211-214 and the cases cited therein</w:t>
      </w:r>
      <w:r w:rsidR="00566413" w:rsidRPr="00B62920">
        <w:rPr>
          <w:lang w:val="en-GB"/>
        </w:rPr>
        <w:t>;</w:t>
      </w:r>
      <w:r w:rsidRPr="00B62920">
        <w:rPr>
          <w:lang w:val="en-GB"/>
        </w:rPr>
        <w:t xml:space="preserve"> </w:t>
      </w:r>
      <w:proofErr w:type="spellStart"/>
      <w:r w:rsidRPr="00B62920">
        <w:rPr>
          <w:lang w:val="en-GB"/>
        </w:rPr>
        <w:t>ECtHR</w:t>
      </w:r>
      <w:proofErr w:type="spellEnd"/>
      <w:r w:rsidRPr="00B62920">
        <w:rPr>
          <w:lang w:val="en-GB"/>
        </w:rPr>
        <w:t xml:space="preserve"> [GC], </w:t>
      </w:r>
      <w:r w:rsidRPr="00B62920">
        <w:rPr>
          <w:i/>
          <w:lang w:val="en-GB"/>
        </w:rPr>
        <w:t>Al-</w:t>
      </w:r>
      <w:proofErr w:type="spellStart"/>
      <w:r w:rsidRPr="00B62920">
        <w:rPr>
          <w:i/>
          <w:lang w:val="en-GB"/>
        </w:rPr>
        <w:t>Skeini</w:t>
      </w:r>
      <w:proofErr w:type="spellEnd"/>
      <w:r w:rsidRPr="00B62920">
        <w:rPr>
          <w:i/>
          <w:lang w:val="en-GB"/>
        </w:rPr>
        <w:t xml:space="preserve"> and Others v. United Kingdom</w:t>
      </w:r>
      <w:r w:rsidRPr="00B62920">
        <w:rPr>
          <w:lang w:val="en-GB"/>
        </w:rPr>
        <w:t>, no. 55721/07, judgment of 7 July 2011, § 167, ECHR 2011</w:t>
      </w:r>
      <w:r w:rsidR="00423598" w:rsidRPr="00B62920">
        <w:rPr>
          <w:lang w:val="en-GB"/>
        </w:rPr>
        <w:t xml:space="preserve">, </w:t>
      </w:r>
      <w:proofErr w:type="spellStart"/>
      <w:r w:rsidR="00423598" w:rsidRPr="00B62920">
        <w:rPr>
          <w:lang w:val="en-GB"/>
        </w:rPr>
        <w:t>ECtHR</w:t>
      </w:r>
      <w:proofErr w:type="spellEnd"/>
      <w:r w:rsidR="00423598" w:rsidRPr="00B62920">
        <w:rPr>
          <w:lang w:val="en-GB"/>
        </w:rPr>
        <w:t xml:space="preserve"> [GC], </w:t>
      </w:r>
      <w:proofErr w:type="spellStart"/>
      <w:r w:rsidR="00423598" w:rsidRPr="00B62920">
        <w:rPr>
          <w:i/>
          <w:lang w:val="en-GB"/>
        </w:rPr>
        <w:t>Mocanu</w:t>
      </w:r>
      <w:proofErr w:type="spellEnd"/>
      <w:r w:rsidR="00423598" w:rsidRPr="00B62920">
        <w:rPr>
          <w:i/>
          <w:lang w:val="en-GB"/>
        </w:rPr>
        <w:t xml:space="preserve"> and Others v. Romania</w:t>
      </w:r>
      <w:r w:rsidR="00423598" w:rsidRPr="00B62920">
        <w:rPr>
          <w:lang w:val="en-GB"/>
        </w:rPr>
        <w:t xml:space="preserve">, cited in § </w:t>
      </w:r>
      <w:r w:rsidR="00423598" w:rsidRPr="00B62920">
        <w:rPr>
          <w:lang w:val="en-GB"/>
        </w:rPr>
        <w:fldChar w:fldCharType="begin"/>
      </w:r>
      <w:r w:rsidR="00423598" w:rsidRPr="00B62920">
        <w:rPr>
          <w:lang w:val="en-GB"/>
        </w:rPr>
        <w:instrText xml:space="preserve"> REF _Ref401245061 \r \h  \* MERGEFORMAT </w:instrText>
      </w:r>
      <w:r w:rsidR="00423598" w:rsidRPr="00B62920">
        <w:rPr>
          <w:lang w:val="en-GB"/>
        </w:rPr>
      </w:r>
      <w:r w:rsidR="00423598" w:rsidRPr="00B62920">
        <w:rPr>
          <w:lang w:val="en-GB"/>
        </w:rPr>
        <w:fldChar w:fldCharType="separate"/>
      </w:r>
      <w:r w:rsidR="00C60385">
        <w:rPr>
          <w:lang w:val="en-GB"/>
        </w:rPr>
        <w:t>74</w:t>
      </w:r>
      <w:r w:rsidR="00423598" w:rsidRPr="00B62920">
        <w:rPr>
          <w:lang w:val="en-GB"/>
        </w:rPr>
        <w:fldChar w:fldCharType="end"/>
      </w:r>
      <w:r w:rsidR="00423598" w:rsidRPr="00B62920">
        <w:rPr>
          <w:lang w:val="en-GB"/>
        </w:rPr>
        <w:t xml:space="preserve"> above, at § 324</w:t>
      </w:r>
      <w:r w:rsidRPr="00B62920">
        <w:rPr>
          <w:lang w:val="en-GB"/>
        </w:rPr>
        <w:t>).</w:t>
      </w:r>
      <w:bookmarkEnd w:id="50"/>
      <w:bookmarkEnd w:id="51"/>
    </w:p>
    <w:p w:rsidR="002437E9" w:rsidRPr="00B62920" w:rsidRDefault="002437E9" w:rsidP="002437E9">
      <w:pPr>
        <w:pStyle w:val="ListParagraph"/>
        <w:rPr>
          <w:lang w:val="en-GB"/>
        </w:rPr>
      </w:pPr>
    </w:p>
    <w:p w:rsidR="003E3F85" w:rsidRPr="00B62920" w:rsidRDefault="002437E9" w:rsidP="002437E9">
      <w:pPr>
        <w:numPr>
          <w:ilvl w:val="0"/>
          <w:numId w:val="2"/>
        </w:numPr>
        <w:tabs>
          <w:tab w:val="left" w:pos="709"/>
        </w:tabs>
        <w:suppressAutoHyphens/>
        <w:autoSpaceDE w:val="0"/>
        <w:jc w:val="both"/>
        <w:rPr>
          <w:lang w:val="en-GB"/>
        </w:rPr>
      </w:pPr>
      <w:r w:rsidRPr="00B62920">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proofErr w:type="spellStart"/>
      <w:r w:rsidR="00423598" w:rsidRPr="00B62920">
        <w:rPr>
          <w:lang w:val="en-GB"/>
        </w:rPr>
        <w:t>ECtHR</w:t>
      </w:r>
      <w:proofErr w:type="spellEnd"/>
      <w:r w:rsidR="00423598" w:rsidRPr="00B62920">
        <w:rPr>
          <w:lang w:val="en-GB"/>
        </w:rPr>
        <w:t xml:space="preserve">, </w:t>
      </w:r>
      <w:r w:rsidR="00993514" w:rsidRPr="00B62920">
        <w:rPr>
          <w:i/>
          <w:iCs/>
          <w:lang w:val="en-GB"/>
        </w:rPr>
        <w:t>El-</w:t>
      </w:r>
      <w:proofErr w:type="spellStart"/>
      <w:r w:rsidR="00993514" w:rsidRPr="00B62920">
        <w:rPr>
          <w:i/>
          <w:iCs/>
          <w:lang w:val="en-GB"/>
        </w:rPr>
        <w:t>Masri</w:t>
      </w:r>
      <w:proofErr w:type="spellEnd"/>
      <w:r w:rsidR="00993514" w:rsidRPr="00B62920">
        <w:rPr>
          <w:i/>
          <w:iCs/>
          <w:lang w:val="en-GB"/>
        </w:rPr>
        <w:t xml:space="preserve"> v. “t</w:t>
      </w:r>
      <w:r w:rsidR="00713D84" w:rsidRPr="00B62920">
        <w:rPr>
          <w:i/>
          <w:iCs/>
          <w:lang w:val="en-GB"/>
        </w:rPr>
        <w:t>he f</w:t>
      </w:r>
      <w:r w:rsidR="00423598" w:rsidRPr="00B62920">
        <w:rPr>
          <w:i/>
          <w:iCs/>
          <w:lang w:val="en-GB"/>
        </w:rPr>
        <w:t>ormer Yugoslav Republic of Macedonia”</w:t>
      </w:r>
      <w:r w:rsidR="00423598" w:rsidRPr="00B62920">
        <w:rPr>
          <w:lang w:val="en-GB"/>
        </w:rPr>
        <w:t xml:space="preserve">, cited in § </w:t>
      </w:r>
      <w:r w:rsidR="00423598" w:rsidRPr="00B62920">
        <w:rPr>
          <w:lang w:val="en-GB"/>
        </w:rPr>
        <w:fldChar w:fldCharType="begin"/>
      </w:r>
      <w:r w:rsidR="00423598" w:rsidRPr="00B62920">
        <w:rPr>
          <w:lang w:val="en-GB"/>
        </w:rPr>
        <w:instrText xml:space="preserve"> REF _Ref401245516 \r \h  \* MERGEFORMAT </w:instrText>
      </w:r>
      <w:r w:rsidR="00423598" w:rsidRPr="00B62920">
        <w:rPr>
          <w:lang w:val="en-GB"/>
        </w:rPr>
      </w:r>
      <w:r w:rsidR="00423598" w:rsidRPr="00B62920">
        <w:rPr>
          <w:lang w:val="en-GB"/>
        </w:rPr>
        <w:fldChar w:fldCharType="separate"/>
      </w:r>
      <w:r w:rsidR="00C60385">
        <w:rPr>
          <w:lang w:val="en-GB"/>
        </w:rPr>
        <w:t>77</w:t>
      </w:r>
      <w:r w:rsidR="00423598" w:rsidRPr="00B62920">
        <w:rPr>
          <w:lang w:val="en-GB"/>
        </w:rPr>
        <w:fldChar w:fldCharType="end"/>
      </w:r>
      <w:r w:rsidR="00423598" w:rsidRPr="00B62920">
        <w:rPr>
          <w:lang w:val="en-GB"/>
        </w:rPr>
        <w:t xml:space="preserve"> above, § 191</w:t>
      </w:r>
      <w:r w:rsidRPr="00B62920">
        <w:rPr>
          <w:lang w:val="en-GB"/>
        </w:rPr>
        <w:t xml:space="preserve">; </w:t>
      </w:r>
      <w:proofErr w:type="spellStart"/>
      <w:r w:rsidRPr="00B62920">
        <w:rPr>
          <w:lang w:val="en-GB"/>
        </w:rPr>
        <w:t>ECtHR</w:t>
      </w:r>
      <w:proofErr w:type="spellEnd"/>
      <w:r w:rsidRPr="00B62920">
        <w:rPr>
          <w:lang w:val="en-GB"/>
        </w:rPr>
        <w:t xml:space="preserve">, </w:t>
      </w:r>
      <w:r w:rsidRPr="00B62920">
        <w:rPr>
          <w:i/>
          <w:iCs/>
          <w:lang w:val="en-GB"/>
        </w:rPr>
        <w:t xml:space="preserve">Al </w:t>
      </w:r>
      <w:proofErr w:type="spellStart"/>
      <w:r w:rsidRPr="00B62920">
        <w:rPr>
          <w:i/>
          <w:iCs/>
          <w:lang w:val="en-GB"/>
        </w:rPr>
        <w:t>Nashiri</w:t>
      </w:r>
      <w:proofErr w:type="spellEnd"/>
      <w:r w:rsidRPr="00B62920">
        <w:rPr>
          <w:i/>
          <w:iCs/>
          <w:lang w:val="en-GB"/>
        </w:rPr>
        <w:t xml:space="preserve"> v. Poland</w:t>
      </w:r>
      <w:r w:rsidRPr="00B62920">
        <w:rPr>
          <w:lang w:val="en-GB"/>
        </w:rPr>
        <w:t xml:space="preserve">, no. 28761/11, judgment of 24 July 2014, §§ 495-496). </w:t>
      </w:r>
      <w:r w:rsidRPr="00B62920">
        <w:t xml:space="preserve">United Nations bodies also </w:t>
      </w:r>
      <w:proofErr w:type="spellStart"/>
      <w:r w:rsidRPr="00B62920">
        <w:t>recognise</w:t>
      </w:r>
      <w:proofErr w:type="spellEnd"/>
      <w:r w:rsidRPr="00B62920">
        <w:t xml:space="preserv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B62920">
        <w:t xml:space="preserve"> see also HRC,  </w:t>
      </w:r>
      <w:proofErr w:type="spellStart"/>
      <w:r w:rsidRPr="00B62920">
        <w:rPr>
          <w:i/>
          <w:iCs/>
        </w:rPr>
        <w:t>Schedko</w:t>
      </w:r>
      <w:proofErr w:type="spellEnd"/>
      <w:r w:rsidRPr="00B62920">
        <w:rPr>
          <w:i/>
          <w:iCs/>
        </w:rPr>
        <w:t xml:space="preserve"> and </w:t>
      </w:r>
      <w:proofErr w:type="spellStart"/>
      <w:r w:rsidRPr="00B62920">
        <w:rPr>
          <w:i/>
          <w:iCs/>
        </w:rPr>
        <w:t>Bondarenko</w:t>
      </w:r>
      <w:proofErr w:type="spellEnd"/>
      <w:r w:rsidRPr="00B62920">
        <w:rPr>
          <w:i/>
          <w:iCs/>
        </w:rPr>
        <w:t xml:space="preserve"> v. Belarus</w:t>
      </w:r>
      <w:r w:rsidRPr="00B62920">
        <w:t xml:space="preserve">, Communication no. 886/1999, views of 3 April 2003, § 10.2, CCPR/C/77/D/886/1999; HRC, </w:t>
      </w:r>
      <w:r w:rsidRPr="00B62920">
        <w:rPr>
          <w:i/>
          <w:iCs/>
        </w:rPr>
        <w:t xml:space="preserve">Mariam, Philippe, </w:t>
      </w:r>
      <w:proofErr w:type="spellStart"/>
      <w:r w:rsidRPr="00B62920">
        <w:rPr>
          <w:i/>
          <w:iCs/>
        </w:rPr>
        <w:t>Auguste</w:t>
      </w:r>
      <w:proofErr w:type="spellEnd"/>
      <w:r w:rsidRPr="00B62920">
        <w:rPr>
          <w:i/>
          <w:iCs/>
        </w:rPr>
        <w:t xml:space="preserve"> and Thomas </w:t>
      </w:r>
      <w:proofErr w:type="spellStart"/>
      <w:r w:rsidRPr="00B62920">
        <w:rPr>
          <w:i/>
          <w:iCs/>
        </w:rPr>
        <w:t>Sankara</w:t>
      </w:r>
      <w:proofErr w:type="spellEnd"/>
      <w:r w:rsidRPr="00B62920">
        <w:rPr>
          <w:i/>
          <w:iCs/>
        </w:rPr>
        <w:t xml:space="preserve"> v. Burkina Faso</w:t>
      </w:r>
      <w:r w:rsidRPr="00B62920">
        <w:t>, Communication no. 1159/2003, views of 8 March 2006</w:t>
      </w:r>
      <w:r w:rsidRPr="00B62920">
        <w:rPr>
          <w:color w:val="000000"/>
          <w:sz w:val="27"/>
          <w:szCs w:val="27"/>
          <w:shd w:val="clear" w:color="auto" w:fill="FFFFFF"/>
        </w:rPr>
        <w:t xml:space="preserve">, </w:t>
      </w:r>
      <w:r w:rsidRPr="00B62920">
        <w:t xml:space="preserve">§ 10.2, CCPR/C/86/D/1159/2003; UN Human Rights Council, Resolutions 9/11 and 12/12: Right to the </w:t>
      </w:r>
      <w:r w:rsidRPr="00B62920">
        <w:rPr>
          <w:lang w:val="en-GB"/>
        </w:rPr>
        <w:t>Truth</w:t>
      </w:r>
      <w:r w:rsidRPr="00B62920">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B62920">
        <w:rPr>
          <w:i/>
          <w:iCs/>
        </w:rPr>
        <w:t>Framework Principles for securing the accountability of public officials for gross and systematic human rights violations committed in the context of State counter-terrorist initiatives</w:t>
      </w:r>
      <w:r w:rsidRPr="00B62920">
        <w:t>, UN Document A/HRC/22/52, 1 March 2013, § 23-26).</w:t>
      </w:r>
    </w:p>
    <w:p w:rsidR="002C60F4" w:rsidRPr="00B62920" w:rsidRDefault="002C60F4" w:rsidP="002437E9">
      <w:pPr>
        <w:tabs>
          <w:tab w:val="left" w:pos="709"/>
        </w:tabs>
        <w:suppressAutoHyphens/>
        <w:autoSpaceDE w:val="0"/>
        <w:ind w:left="360"/>
        <w:jc w:val="both"/>
        <w:rPr>
          <w:lang w:val="en-GB"/>
        </w:rPr>
      </w:pPr>
    </w:p>
    <w:p w:rsidR="003E3F85" w:rsidRPr="004058E4" w:rsidRDefault="003E3F85" w:rsidP="003E3F85">
      <w:pPr>
        <w:pStyle w:val="ListParagraph"/>
        <w:numPr>
          <w:ilvl w:val="0"/>
          <w:numId w:val="7"/>
        </w:numPr>
        <w:contextualSpacing/>
        <w:jc w:val="both"/>
        <w:rPr>
          <w:i/>
          <w:lang w:val="en-GB" w:eastAsia="en-US"/>
        </w:rPr>
      </w:pPr>
      <w:r w:rsidRPr="004058E4">
        <w:rPr>
          <w:i/>
          <w:lang w:val="en-GB"/>
        </w:rPr>
        <w:t>Applicability</w:t>
      </w:r>
      <w:r w:rsidRPr="004058E4">
        <w:rPr>
          <w:i/>
          <w:lang w:val="en-GB" w:eastAsia="en-US"/>
        </w:rPr>
        <w:t xml:space="preserve"> of Article 2 to the Kosovo context</w:t>
      </w:r>
    </w:p>
    <w:p w:rsidR="003E3F85" w:rsidRPr="004058E4" w:rsidRDefault="003E3F85" w:rsidP="003E3F85">
      <w:pPr>
        <w:pStyle w:val="ListParagraph"/>
        <w:tabs>
          <w:tab w:val="num" w:pos="567"/>
        </w:tabs>
        <w:ind w:left="567" w:hanging="425"/>
        <w:rPr>
          <w:lang w:val="en-GB" w:eastAsia="en-US"/>
        </w:rPr>
      </w:pPr>
    </w:p>
    <w:p w:rsidR="003E3F85" w:rsidRPr="004058E4" w:rsidRDefault="003E3F85" w:rsidP="003E3F85">
      <w:pPr>
        <w:numPr>
          <w:ilvl w:val="0"/>
          <w:numId w:val="2"/>
        </w:numPr>
        <w:tabs>
          <w:tab w:val="left" w:pos="709"/>
        </w:tabs>
        <w:suppressAutoHyphens/>
        <w:autoSpaceDE w:val="0"/>
        <w:jc w:val="both"/>
        <w:rPr>
          <w:lang w:val="en-GB"/>
        </w:rPr>
      </w:pPr>
      <w:bookmarkStart w:id="52" w:name="_Ref366163783"/>
      <w:r w:rsidRPr="004058E4">
        <w:rPr>
          <w:lang w:val="en-GB"/>
        </w:rPr>
        <w:t xml:space="preserve">The Panel is conscious that </w:t>
      </w:r>
      <w:r w:rsidR="00276673" w:rsidRPr="004058E4">
        <w:rPr>
          <w:lang w:val="en-GB"/>
        </w:rPr>
        <w:t>the abduction and disappearance</w:t>
      </w:r>
      <w:r w:rsidR="008B2B37" w:rsidRPr="004058E4">
        <w:rPr>
          <w:lang w:val="en-GB"/>
        </w:rPr>
        <w:t xml:space="preserve"> of </w:t>
      </w:r>
      <w:proofErr w:type="spellStart"/>
      <w:r w:rsidR="00276673" w:rsidRPr="004058E4">
        <w:t>Mrs</w:t>
      </w:r>
      <w:proofErr w:type="spellEnd"/>
      <w:r w:rsidR="00276673" w:rsidRPr="004058E4">
        <w:t xml:space="preserve"> Vera </w:t>
      </w:r>
      <w:proofErr w:type="spellStart"/>
      <w:r w:rsidR="00276673" w:rsidRPr="004058E4">
        <w:t>Škripac</w:t>
      </w:r>
      <w:proofErr w:type="spellEnd"/>
      <w:r w:rsidR="00276673" w:rsidRPr="004058E4">
        <w:rPr>
          <w:lang w:val="en-GB"/>
        </w:rPr>
        <w:t xml:space="preserve"> </w:t>
      </w:r>
      <w:r w:rsidR="008B2B37" w:rsidRPr="004058E4">
        <w:rPr>
          <w:lang w:val="en-GB"/>
        </w:rPr>
        <w:t xml:space="preserve">occurred </w:t>
      </w:r>
      <w:r w:rsidR="00E92DED" w:rsidRPr="004058E4">
        <w:rPr>
          <w:lang w:val="en-GB"/>
        </w:rPr>
        <w:t>shortly after</w:t>
      </w:r>
      <w:r w:rsidR="003A658C" w:rsidRPr="004058E4">
        <w:rPr>
          <w:lang w:val="en-GB"/>
        </w:rPr>
        <w:t xml:space="preserve"> </w:t>
      </w:r>
      <w:r w:rsidRPr="004058E4">
        <w:rPr>
          <w:lang w:val="en-GB"/>
        </w:rPr>
        <w:t>the deployment of UNMIK in Kosovo, when crime, violence and insecurity were rife.</w:t>
      </w:r>
      <w:bookmarkEnd w:id="52"/>
    </w:p>
    <w:p w:rsidR="003E3F85" w:rsidRPr="00B62920" w:rsidRDefault="003E3F85" w:rsidP="003E3F85">
      <w:pPr>
        <w:pStyle w:val="ListParagraph"/>
        <w:ind w:left="567"/>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r w:rsidRPr="00B62920">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B62920" w:rsidRDefault="003E3F85" w:rsidP="003E3F85">
      <w:pPr>
        <w:pStyle w:val="ListParagraph"/>
        <w:ind w:left="567"/>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r w:rsidRPr="00B62920">
        <w:rPr>
          <w:lang w:val="en-GB"/>
        </w:rPr>
        <w:t xml:space="preserve">The </w:t>
      </w:r>
      <w:r w:rsidRPr="00B62920">
        <w:rPr>
          <w:lang w:val="en-GB" w:eastAsia="nl-BE"/>
        </w:rPr>
        <w:t>Panel</w:t>
      </w:r>
      <w:r w:rsidRPr="00B62920">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B62920" w:rsidRDefault="003E3F85" w:rsidP="003E3F85">
      <w:pPr>
        <w:pStyle w:val="ListParagraph"/>
        <w:ind w:left="567" w:hanging="425"/>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r w:rsidRPr="00B62920">
        <w:rPr>
          <w:lang w:val="en-GB"/>
        </w:rPr>
        <w:t xml:space="preserve">As regards </w:t>
      </w:r>
      <w:r w:rsidRPr="00B62920">
        <w:t>t</w:t>
      </w:r>
      <w:r w:rsidRPr="00B62920">
        <w:rPr>
          <w:lang w:val="en-GB"/>
        </w:rPr>
        <w:t xml:space="preserve">he applicability of Article 2 to UNMIK, the Panel recalls </w:t>
      </w:r>
      <w:r w:rsidRPr="00B62920">
        <w:rPr>
          <w:lang w:val="en-GB" w:eastAsia="nl-BE"/>
        </w:rPr>
        <w:t xml:space="preserve">that with the adoption of the UNMIK Regulation No. 1999/1 on 25 July 1999 UNMIK undertook an obligation to observe internationally recognised human rights standards in exercising its </w:t>
      </w:r>
      <w:r w:rsidRPr="00B62920">
        <w:rPr>
          <w:lang w:val="en-GB"/>
        </w:rPr>
        <w:t>functions</w:t>
      </w:r>
      <w:r w:rsidRPr="00B62920">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B62920">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B62920">
        <w:rPr>
          <w:i/>
          <w:lang w:val="en-GB"/>
        </w:rPr>
        <w:t>Milogorić</w:t>
      </w:r>
      <w:proofErr w:type="spellEnd"/>
      <w:r w:rsidRPr="00B62920">
        <w:rPr>
          <w:lang w:val="en-GB"/>
        </w:rPr>
        <w:t xml:space="preserve"> </w:t>
      </w:r>
      <w:r w:rsidRPr="00B62920">
        <w:rPr>
          <w:i/>
          <w:lang w:val="en-GB"/>
        </w:rPr>
        <w:t>and Others,</w:t>
      </w:r>
      <w:r w:rsidRPr="00B62920">
        <w:rPr>
          <w:lang w:val="en-GB"/>
        </w:rPr>
        <w:t xml:space="preserve"> nos. 38/08 and others, opinion of 24 March 2011, § 44; </w:t>
      </w:r>
      <w:r w:rsidRPr="00B62920">
        <w:rPr>
          <w:i/>
          <w:lang w:val="en-GB"/>
        </w:rPr>
        <w:t>Berisha and Others,</w:t>
      </w:r>
      <w:r w:rsidRPr="00B62920">
        <w:rPr>
          <w:lang w:val="en-GB"/>
        </w:rPr>
        <w:t xml:space="preserve"> nos. 27/08 and others, opinion of 23 February 2011,</w:t>
      </w:r>
      <w:r w:rsidRPr="00B62920">
        <w:rPr>
          <w:i/>
          <w:lang w:val="en-GB"/>
        </w:rPr>
        <w:t xml:space="preserve"> </w:t>
      </w:r>
      <w:r w:rsidRPr="00B62920">
        <w:rPr>
          <w:lang w:val="en-GB"/>
        </w:rPr>
        <w:t xml:space="preserve">§ 25; </w:t>
      </w:r>
      <w:proofErr w:type="spellStart"/>
      <w:r w:rsidRPr="00B62920">
        <w:rPr>
          <w:i/>
          <w:lang w:val="en-GB"/>
        </w:rPr>
        <w:t>Lalić</w:t>
      </w:r>
      <w:proofErr w:type="spellEnd"/>
      <w:r w:rsidRPr="00B62920">
        <w:rPr>
          <w:i/>
          <w:lang w:val="en-GB"/>
        </w:rPr>
        <w:t xml:space="preserve"> and Others</w:t>
      </w:r>
      <w:r w:rsidRPr="00B62920">
        <w:rPr>
          <w:lang w:val="en-GB"/>
        </w:rPr>
        <w:t>, nos. 09/08 and others, opinion of 9 June 2012, § 22).</w:t>
      </w:r>
    </w:p>
    <w:p w:rsidR="003E3F85" w:rsidRPr="00B62920" w:rsidRDefault="003E3F85" w:rsidP="003E3F85">
      <w:pPr>
        <w:pStyle w:val="ListParagrap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53" w:name="_Ref366241246"/>
      <w:r w:rsidRPr="00B62920">
        <w:rPr>
          <w:lang w:val="en-GB"/>
        </w:rPr>
        <w:t xml:space="preserve">Concerning the applicability of Article 2 to situations of conflict or generalised violence, the Panel </w:t>
      </w:r>
      <w:r w:rsidRPr="00B62920">
        <w:t>recalls</w:t>
      </w:r>
      <w:r w:rsidRPr="00B62920">
        <w:rPr>
          <w:lang w:val="en-GB"/>
        </w:rPr>
        <w:t xml:space="preserve"> that the European Court of Human Rights has established the applicability of Article 2 to post-conflict situations, including in countries of the former Yugoslavia (see, among other examples, </w:t>
      </w:r>
      <w:proofErr w:type="spellStart"/>
      <w:r w:rsidRPr="00B62920">
        <w:rPr>
          <w:lang w:val="en-GB"/>
        </w:rPr>
        <w:t>ECtHR</w:t>
      </w:r>
      <w:proofErr w:type="spellEnd"/>
      <w:r w:rsidRPr="00B62920">
        <w:rPr>
          <w:lang w:val="en-GB"/>
        </w:rPr>
        <w:t xml:space="preserve">, </w:t>
      </w:r>
      <w:proofErr w:type="spellStart"/>
      <w:r w:rsidRPr="00B62920">
        <w:rPr>
          <w:i/>
          <w:lang w:val="en-GB"/>
        </w:rPr>
        <w:t>Palić</w:t>
      </w:r>
      <w:proofErr w:type="spellEnd"/>
      <w:r w:rsidRPr="00B62920">
        <w:rPr>
          <w:i/>
          <w:lang w:val="en-GB"/>
        </w:rPr>
        <w:t xml:space="preserve"> v. Bosnia and Herzegovina,</w:t>
      </w:r>
      <w:r w:rsidRPr="00B62920">
        <w:rPr>
          <w:lang w:val="en-GB"/>
        </w:rPr>
        <w:t xml:space="preserve"> cited in § </w:t>
      </w:r>
      <w:r w:rsidRPr="00B62920">
        <w:fldChar w:fldCharType="begin"/>
      </w:r>
      <w:r w:rsidRPr="00B62920">
        <w:instrText xml:space="preserve"> REF _Ref366239979 \r \h  \* MERGEFORMAT </w:instrText>
      </w:r>
      <w:r w:rsidRPr="00B62920">
        <w:fldChar w:fldCharType="separate"/>
      </w:r>
      <w:r w:rsidR="00C60385" w:rsidRPr="00C60385">
        <w:rPr>
          <w:lang w:val="en-GB"/>
        </w:rPr>
        <w:t>76</w:t>
      </w:r>
      <w:r w:rsidRPr="00B62920">
        <w:fldChar w:fldCharType="end"/>
      </w:r>
      <w:r w:rsidRPr="00B62920">
        <w:rPr>
          <w:lang w:val="en-GB"/>
        </w:rPr>
        <w:t xml:space="preserve"> above, and </w:t>
      </w:r>
      <w:proofErr w:type="spellStart"/>
      <w:r w:rsidRPr="00B62920">
        <w:rPr>
          <w:lang w:val="en-GB"/>
        </w:rPr>
        <w:t>ECtHR</w:t>
      </w:r>
      <w:proofErr w:type="spellEnd"/>
      <w:r w:rsidRPr="00B62920">
        <w:rPr>
          <w:lang w:val="en-GB"/>
        </w:rPr>
        <w:t xml:space="preserve">, </w:t>
      </w:r>
      <w:proofErr w:type="spellStart"/>
      <w:r w:rsidRPr="00B62920">
        <w:rPr>
          <w:i/>
          <w:lang w:val="en-GB"/>
        </w:rPr>
        <w:t>Jularić</w:t>
      </w:r>
      <w:proofErr w:type="spellEnd"/>
      <w:r w:rsidRPr="00B62920">
        <w:rPr>
          <w:i/>
          <w:lang w:val="en-GB"/>
        </w:rPr>
        <w:t xml:space="preserve"> v. Croatia</w:t>
      </w:r>
      <w:r w:rsidRPr="00B62920">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B62920">
        <w:rPr>
          <w:lang w:val="en-GB"/>
        </w:rPr>
        <w:t>ECtHR</w:t>
      </w:r>
      <w:proofErr w:type="spellEnd"/>
      <w:r w:rsidRPr="00B62920">
        <w:rPr>
          <w:lang w:val="en-GB"/>
        </w:rPr>
        <w:t xml:space="preserve"> [GC], </w:t>
      </w:r>
      <w:r w:rsidRPr="00B62920">
        <w:rPr>
          <w:i/>
          <w:lang w:val="en-GB"/>
        </w:rPr>
        <w:t>Al-</w:t>
      </w:r>
      <w:proofErr w:type="spellStart"/>
      <w:r w:rsidRPr="00B62920">
        <w:rPr>
          <w:i/>
          <w:lang w:val="en-GB"/>
        </w:rPr>
        <w:t>Skeini</w:t>
      </w:r>
      <w:proofErr w:type="spellEnd"/>
      <w:r w:rsidRPr="00B62920">
        <w:rPr>
          <w:i/>
          <w:lang w:val="en-GB"/>
        </w:rPr>
        <w:t xml:space="preserve"> and Others v. the United Kingdom</w:t>
      </w:r>
      <w:r w:rsidRPr="00B62920">
        <w:rPr>
          <w:lang w:val="en-GB"/>
        </w:rPr>
        <w:t xml:space="preserve">, cited in § </w:t>
      </w:r>
      <w:r w:rsidRPr="00B62920">
        <w:fldChar w:fldCharType="begin"/>
      </w:r>
      <w:r w:rsidRPr="00B62920">
        <w:instrText xml:space="preserve"> REF _Ref366240205 \r \h  \* MERGEFORMAT </w:instrText>
      </w:r>
      <w:r w:rsidRPr="00B62920">
        <w:fldChar w:fldCharType="separate"/>
      </w:r>
      <w:r w:rsidR="00C60385" w:rsidRPr="00C60385">
        <w:rPr>
          <w:lang w:val="en-GB"/>
        </w:rPr>
        <w:t>80</w:t>
      </w:r>
      <w:r w:rsidRPr="00B62920">
        <w:fldChar w:fldCharType="end"/>
      </w:r>
      <w:r w:rsidRPr="00B62920">
        <w:rPr>
          <w:lang w:val="en-GB"/>
        </w:rPr>
        <w:t xml:space="preserve"> above, at § 164; see also </w:t>
      </w:r>
      <w:proofErr w:type="spellStart"/>
      <w:r w:rsidRPr="00B62920">
        <w:rPr>
          <w:lang w:val="en-GB"/>
        </w:rPr>
        <w:t>ECtHR</w:t>
      </w:r>
      <w:proofErr w:type="spellEnd"/>
      <w:r w:rsidRPr="00B62920">
        <w:rPr>
          <w:lang w:val="en-GB"/>
        </w:rPr>
        <w:t xml:space="preserve">, </w:t>
      </w:r>
      <w:proofErr w:type="spellStart"/>
      <w:r w:rsidRPr="00B62920">
        <w:rPr>
          <w:i/>
          <w:lang w:val="en-GB"/>
        </w:rPr>
        <w:t>Güleç</w:t>
      </w:r>
      <w:proofErr w:type="spellEnd"/>
      <w:r w:rsidRPr="00B62920">
        <w:rPr>
          <w:i/>
          <w:lang w:val="en-GB"/>
        </w:rPr>
        <w:t xml:space="preserve"> v. Turkey</w:t>
      </w:r>
      <w:r w:rsidRPr="00B62920">
        <w:rPr>
          <w:lang w:val="en-GB"/>
        </w:rPr>
        <w:t xml:space="preserve">, judgment of 27 July 1998, § 81, Reports 1998-IV; </w:t>
      </w:r>
      <w:proofErr w:type="spellStart"/>
      <w:r w:rsidRPr="00B62920">
        <w:rPr>
          <w:lang w:val="en-GB"/>
        </w:rPr>
        <w:t>ECtHR</w:t>
      </w:r>
      <w:proofErr w:type="spellEnd"/>
      <w:r w:rsidRPr="00B62920">
        <w:rPr>
          <w:lang w:val="en-GB"/>
        </w:rPr>
        <w:t>,</w:t>
      </w:r>
      <w:r w:rsidRPr="00B62920">
        <w:rPr>
          <w:i/>
          <w:lang w:val="en-GB"/>
        </w:rPr>
        <w:t xml:space="preserve"> </w:t>
      </w:r>
      <w:proofErr w:type="spellStart"/>
      <w:r w:rsidRPr="00B62920">
        <w:rPr>
          <w:i/>
          <w:lang w:val="en-GB"/>
        </w:rPr>
        <w:t>Ergi</w:t>
      </w:r>
      <w:proofErr w:type="spellEnd"/>
      <w:r w:rsidRPr="00B62920">
        <w:rPr>
          <w:i/>
          <w:lang w:val="en-GB"/>
        </w:rPr>
        <w:t xml:space="preserve"> v. Turkey</w:t>
      </w:r>
      <w:r w:rsidRPr="00B62920">
        <w:rPr>
          <w:lang w:val="en-GB"/>
        </w:rPr>
        <w:t xml:space="preserve">, judgment of 28 July 1998, §§ 79 and 82, Reports 1998-IV; </w:t>
      </w:r>
      <w:proofErr w:type="spellStart"/>
      <w:r w:rsidRPr="00B62920">
        <w:rPr>
          <w:lang w:val="en-GB"/>
        </w:rPr>
        <w:t>ECtHR</w:t>
      </w:r>
      <w:proofErr w:type="spellEnd"/>
      <w:r w:rsidRPr="00B62920">
        <w:rPr>
          <w:lang w:val="en-GB"/>
        </w:rPr>
        <w:t>,</w:t>
      </w:r>
      <w:r w:rsidRPr="00B62920">
        <w:rPr>
          <w:i/>
          <w:lang w:val="en-GB"/>
        </w:rPr>
        <w:t xml:space="preserve"> Ahmet </w:t>
      </w:r>
      <w:proofErr w:type="spellStart"/>
      <w:r w:rsidRPr="00B62920">
        <w:rPr>
          <w:i/>
          <w:lang w:val="en-GB"/>
        </w:rPr>
        <w:t>Özkan</w:t>
      </w:r>
      <w:proofErr w:type="spellEnd"/>
      <w:r w:rsidRPr="00B62920">
        <w:rPr>
          <w:i/>
          <w:lang w:val="en-GB"/>
        </w:rPr>
        <w:t xml:space="preserve"> and Others v. Turkey</w:t>
      </w:r>
      <w:r w:rsidRPr="00B62920">
        <w:rPr>
          <w:lang w:val="en-GB"/>
        </w:rPr>
        <w:t xml:space="preserve">, cited in § </w:t>
      </w:r>
      <w:r w:rsidRPr="00B62920">
        <w:fldChar w:fldCharType="begin"/>
      </w:r>
      <w:r w:rsidRPr="00B62920">
        <w:instrText xml:space="preserve"> REF _Ref366240125 \r \h  \* MERGEFORMAT </w:instrText>
      </w:r>
      <w:r w:rsidRPr="00B62920">
        <w:fldChar w:fldCharType="separate"/>
      </w:r>
      <w:r w:rsidR="00C60385" w:rsidRPr="00C60385">
        <w:rPr>
          <w:lang w:val="en-GB"/>
        </w:rPr>
        <w:t>75</w:t>
      </w:r>
      <w:r w:rsidRPr="00B62920">
        <w:fldChar w:fldCharType="end"/>
      </w:r>
      <w:r w:rsidRPr="00B62920">
        <w:rPr>
          <w:lang w:val="en-GB"/>
        </w:rPr>
        <w:t xml:space="preserve"> above, at §§ 85-90, 309-320 and 326-330;</w:t>
      </w:r>
      <w:r w:rsidRPr="00B62920">
        <w:rPr>
          <w:i/>
          <w:lang w:val="en-GB"/>
        </w:rPr>
        <w:t xml:space="preserve"> </w:t>
      </w:r>
      <w:proofErr w:type="spellStart"/>
      <w:r w:rsidR="00B41BE6" w:rsidRPr="00B62920">
        <w:rPr>
          <w:lang w:val="en-GB"/>
        </w:rPr>
        <w:t>ECtHR</w:t>
      </w:r>
      <w:proofErr w:type="spellEnd"/>
      <w:r w:rsidR="00B41BE6" w:rsidRPr="00B62920">
        <w:rPr>
          <w:lang w:val="en-GB"/>
        </w:rPr>
        <w:t xml:space="preserve">, </w:t>
      </w:r>
      <w:proofErr w:type="spellStart"/>
      <w:r w:rsidRPr="00B62920">
        <w:rPr>
          <w:i/>
          <w:lang w:val="en-GB"/>
        </w:rPr>
        <w:t>Isayeva</w:t>
      </w:r>
      <w:proofErr w:type="spellEnd"/>
      <w:r w:rsidRPr="00B62920">
        <w:rPr>
          <w:i/>
          <w:lang w:val="en-GB"/>
        </w:rPr>
        <w:t xml:space="preserve"> v. Russia</w:t>
      </w:r>
      <w:r w:rsidRPr="00B62920">
        <w:rPr>
          <w:lang w:val="en-GB"/>
        </w:rPr>
        <w:t xml:space="preserve">, cited in § </w:t>
      </w:r>
      <w:r w:rsidRPr="00B62920">
        <w:fldChar w:fldCharType="begin"/>
      </w:r>
      <w:r w:rsidRPr="00B62920">
        <w:instrText xml:space="preserve"> REF _Ref366240125 \r \h  \* MERGEFORMAT </w:instrText>
      </w:r>
      <w:r w:rsidRPr="00B62920">
        <w:fldChar w:fldCharType="separate"/>
      </w:r>
      <w:r w:rsidR="00C60385" w:rsidRPr="00C60385">
        <w:rPr>
          <w:lang w:val="en-GB"/>
        </w:rPr>
        <w:t>75</w:t>
      </w:r>
      <w:r w:rsidRPr="00B62920">
        <w:fldChar w:fldCharType="end"/>
      </w:r>
      <w:r w:rsidRPr="00B62920">
        <w:rPr>
          <w:lang w:val="en-GB"/>
        </w:rPr>
        <w:t xml:space="preserve"> above, at §§ 180 and 210; </w:t>
      </w:r>
      <w:proofErr w:type="spellStart"/>
      <w:r w:rsidRPr="00B62920">
        <w:rPr>
          <w:lang w:val="en-GB"/>
        </w:rPr>
        <w:t>ECtHR</w:t>
      </w:r>
      <w:proofErr w:type="spellEnd"/>
      <w:r w:rsidRPr="00B62920">
        <w:rPr>
          <w:lang w:val="en-GB"/>
        </w:rPr>
        <w:t xml:space="preserve">, </w:t>
      </w:r>
      <w:proofErr w:type="spellStart"/>
      <w:r w:rsidRPr="00B62920">
        <w:rPr>
          <w:i/>
          <w:lang w:val="en-GB"/>
        </w:rPr>
        <w:t>Kanlibaş</w:t>
      </w:r>
      <w:proofErr w:type="spellEnd"/>
      <w:r w:rsidRPr="00B62920">
        <w:rPr>
          <w:i/>
          <w:lang w:val="en-GB"/>
        </w:rPr>
        <w:t xml:space="preserve"> v. Turkey</w:t>
      </w:r>
      <w:r w:rsidRPr="00B62920">
        <w:rPr>
          <w:lang w:val="en-GB"/>
        </w:rPr>
        <w:t>, no. 32444/96, judgment of 8 December 2005, §§ 39-51).</w:t>
      </w:r>
      <w:bookmarkEnd w:id="53"/>
      <w:r w:rsidRPr="00B62920">
        <w:rPr>
          <w:lang w:val="en-GB"/>
        </w:rPr>
        <w:t xml:space="preserve"> </w:t>
      </w:r>
    </w:p>
    <w:p w:rsidR="003E3F85" w:rsidRPr="00B62920" w:rsidRDefault="003E3F85" w:rsidP="003E3F85">
      <w:pPr>
        <w:pStyle w:val="ListParagraph"/>
        <w:suppressAutoHyphens w:val="0"/>
        <w:ind w:left="567"/>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bookmarkStart w:id="54" w:name="_Ref366241459"/>
      <w:r w:rsidRPr="00B62920">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B62920">
        <w:t>may</w:t>
      </w:r>
      <w:r w:rsidRPr="00B62920">
        <w:rPr>
          <w:lang w:val="en-GB"/>
        </w:rPr>
        <w:t xml:space="preserve"> compel the use of less effective measures of investigation or may cause an investigation t</w:t>
      </w:r>
      <w:r w:rsidR="00DD33CB" w:rsidRPr="00B62920">
        <w:rPr>
          <w:lang w:val="en-GB"/>
        </w:rPr>
        <w:t>o be delayed” (see</w:t>
      </w:r>
      <w:r w:rsidRPr="00B62920">
        <w:rPr>
          <w:lang w:val="en-GB"/>
        </w:rPr>
        <w:t xml:space="preserve"> </w:t>
      </w:r>
      <w:proofErr w:type="spellStart"/>
      <w:r w:rsidRPr="00B62920">
        <w:rPr>
          <w:lang w:val="en-GB"/>
        </w:rPr>
        <w:t>ECtHR</w:t>
      </w:r>
      <w:proofErr w:type="spellEnd"/>
      <w:r w:rsidRPr="00B62920">
        <w:rPr>
          <w:lang w:val="en-GB"/>
        </w:rPr>
        <w:t xml:space="preserve"> [GC], </w:t>
      </w:r>
      <w:r w:rsidRPr="00B62920">
        <w:rPr>
          <w:i/>
          <w:lang w:val="en-GB"/>
        </w:rPr>
        <w:t>Al-</w:t>
      </w:r>
      <w:proofErr w:type="spellStart"/>
      <w:r w:rsidRPr="00B62920">
        <w:rPr>
          <w:i/>
          <w:lang w:val="en-GB"/>
        </w:rPr>
        <w:t>Skeini</w:t>
      </w:r>
      <w:proofErr w:type="spellEnd"/>
      <w:r w:rsidRPr="00B62920">
        <w:rPr>
          <w:i/>
          <w:lang w:val="en-GB"/>
        </w:rPr>
        <w:t xml:space="preserve"> and Others v. the United Kingdom, </w:t>
      </w:r>
      <w:r w:rsidRPr="00B62920">
        <w:rPr>
          <w:lang w:val="en-GB"/>
        </w:rPr>
        <w:t>cited above, at §164;</w:t>
      </w:r>
      <w:r w:rsidRPr="00B62920">
        <w:rPr>
          <w:i/>
          <w:lang w:val="en-GB"/>
        </w:rPr>
        <w:t xml:space="preserve"> </w:t>
      </w:r>
      <w:proofErr w:type="spellStart"/>
      <w:r w:rsidRPr="00B62920">
        <w:rPr>
          <w:lang w:val="en-GB"/>
        </w:rPr>
        <w:t>ECtHR</w:t>
      </w:r>
      <w:proofErr w:type="spellEnd"/>
      <w:r w:rsidRPr="00B62920">
        <w:rPr>
          <w:lang w:val="en-GB"/>
        </w:rPr>
        <w:t>,</w:t>
      </w:r>
      <w:r w:rsidRPr="00B62920">
        <w:rPr>
          <w:i/>
          <w:lang w:val="en-GB"/>
        </w:rPr>
        <w:t xml:space="preserve"> </w:t>
      </w:r>
      <w:proofErr w:type="spellStart"/>
      <w:r w:rsidRPr="00B62920">
        <w:rPr>
          <w:i/>
          <w:lang w:val="en-GB"/>
        </w:rPr>
        <w:t>Bazorkina</w:t>
      </w:r>
      <w:proofErr w:type="spellEnd"/>
      <w:r w:rsidRPr="00B62920">
        <w:rPr>
          <w:i/>
          <w:lang w:val="en-GB"/>
        </w:rPr>
        <w:t xml:space="preserve"> v. Russia</w:t>
      </w:r>
      <w:r w:rsidRPr="00B62920">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B62920">
        <w:rPr>
          <w:i/>
          <w:lang w:val="en-GB"/>
        </w:rPr>
        <w:t>Kaya v. Turkey</w:t>
      </w:r>
      <w:r w:rsidRPr="00B62920">
        <w:rPr>
          <w:lang w:val="en-GB"/>
        </w:rPr>
        <w:t xml:space="preserve">, cited in § </w:t>
      </w:r>
      <w:r w:rsidRPr="00B62920">
        <w:fldChar w:fldCharType="begin"/>
      </w:r>
      <w:r w:rsidRPr="00B62920">
        <w:instrText xml:space="preserve"> REF _Ref366239860 \r \h  \* MERGEFORMAT </w:instrText>
      </w:r>
      <w:r w:rsidRPr="00B62920">
        <w:fldChar w:fldCharType="separate"/>
      </w:r>
      <w:r w:rsidR="00C60385" w:rsidRPr="00C60385">
        <w:rPr>
          <w:lang w:val="en-GB"/>
        </w:rPr>
        <w:t>73</w:t>
      </w:r>
      <w:r w:rsidRPr="00B62920">
        <w:fldChar w:fldCharType="end"/>
      </w:r>
      <w:r w:rsidRPr="00B62920">
        <w:rPr>
          <w:lang w:val="en-GB"/>
        </w:rPr>
        <w:t xml:space="preserve"> above, at §§ 86</w:t>
      </w:r>
      <w:r w:rsidRPr="00B62920">
        <w:rPr>
          <w:lang w:val="en-GB"/>
        </w:rPr>
        <w:noBreakHyphen/>
        <w:t xml:space="preserve">92; </w:t>
      </w:r>
      <w:proofErr w:type="spellStart"/>
      <w:r w:rsidRPr="00B62920">
        <w:rPr>
          <w:lang w:val="en-GB"/>
        </w:rPr>
        <w:t>ECtHR</w:t>
      </w:r>
      <w:proofErr w:type="spellEnd"/>
      <w:r w:rsidRPr="00B62920">
        <w:rPr>
          <w:lang w:val="en-GB"/>
        </w:rPr>
        <w:t xml:space="preserve">, </w:t>
      </w:r>
      <w:proofErr w:type="spellStart"/>
      <w:r w:rsidRPr="00B62920">
        <w:rPr>
          <w:i/>
          <w:lang w:val="en-GB"/>
        </w:rPr>
        <w:t>Ergi</w:t>
      </w:r>
      <w:proofErr w:type="spellEnd"/>
      <w:r w:rsidRPr="00B62920">
        <w:rPr>
          <w:i/>
          <w:lang w:val="en-GB"/>
        </w:rPr>
        <w:t xml:space="preserve"> v Turkey, </w:t>
      </w:r>
      <w:r w:rsidRPr="00B62920">
        <w:rPr>
          <w:lang w:val="en-GB"/>
        </w:rPr>
        <w:t xml:space="preserve">cited above, at §§ 82-85; </w:t>
      </w:r>
      <w:proofErr w:type="spellStart"/>
      <w:r w:rsidRPr="00B62920">
        <w:rPr>
          <w:lang w:val="en-GB"/>
        </w:rPr>
        <w:t>ECtHR</w:t>
      </w:r>
      <w:proofErr w:type="spellEnd"/>
      <w:r w:rsidRPr="00B62920">
        <w:rPr>
          <w:lang w:val="en-GB"/>
        </w:rPr>
        <w:t xml:space="preserve"> [GC], </w:t>
      </w:r>
      <w:proofErr w:type="spellStart"/>
      <w:r w:rsidRPr="00B62920">
        <w:rPr>
          <w:i/>
          <w:lang w:val="en-GB"/>
        </w:rPr>
        <w:t>Tanrıkulu</w:t>
      </w:r>
      <w:proofErr w:type="spellEnd"/>
      <w:r w:rsidRPr="00B62920">
        <w:rPr>
          <w:i/>
          <w:lang w:val="en-GB"/>
        </w:rPr>
        <w:t xml:space="preserve"> v. Turkey</w:t>
      </w:r>
      <w:r w:rsidRPr="00B62920">
        <w:rPr>
          <w:lang w:val="en-GB"/>
        </w:rPr>
        <w:t xml:space="preserve">, no. 23763/94, judgment of 8 July 1999, §§ 101-110, ECHR 1999-IV; </w:t>
      </w:r>
      <w:proofErr w:type="spellStart"/>
      <w:r w:rsidRPr="00B62920">
        <w:rPr>
          <w:lang w:val="en-GB"/>
        </w:rPr>
        <w:t>ECtHR</w:t>
      </w:r>
      <w:proofErr w:type="spellEnd"/>
      <w:r w:rsidRPr="00B62920">
        <w:rPr>
          <w:lang w:val="en-GB"/>
        </w:rPr>
        <w:t xml:space="preserve">, </w:t>
      </w:r>
      <w:proofErr w:type="spellStart"/>
      <w:r w:rsidRPr="00B62920">
        <w:rPr>
          <w:i/>
          <w:lang w:val="en-GB"/>
        </w:rPr>
        <w:t>Khashiyev</w:t>
      </w:r>
      <w:proofErr w:type="spellEnd"/>
      <w:r w:rsidRPr="00B62920">
        <w:rPr>
          <w:i/>
          <w:lang w:val="en-GB"/>
        </w:rPr>
        <w:t xml:space="preserve"> and </w:t>
      </w:r>
      <w:proofErr w:type="spellStart"/>
      <w:r w:rsidRPr="00B62920">
        <w:rPr>
          <w:i/>
          <w:lang w:val="en-GB"/>
        </w:rPr>
        <w:t>Akayeva</w:t>
      </w:r>
      <w:proofErr w:type="spellEnd"/>
      <w:r w:rsidRPr="00B62920">
        <w:rPr>
          <w:i/>
          <w:lang w:val="en-GB"/>
        </w:rPr>
        <w:t xml:space="preserve"> v. Russia</w:t>
      </w:r>
      <w:r w:rsidRPr="00B62920">
        <w:rPr>
          <w:lang w:val="en-GB"/>
        </w:rPr>
        <w:t xml:space="preserve">, nos. 57942/00 and 57945/00, judgment of 24 February 2005, §§ 156-166; </w:t>
      </w:r>
      <w:proofErr w:type="spellStart"/>
      <w:r w:rsidRPr="00B62920">
        <w:rPr>
          <w:lang w:val="en-GB"/>
        </w:rPr>
        <w:t>ECtHR</w:t>
      </w:r>
      <w:proofErr w:type="spellEnd"/>
      <w:r w:rsidRPr="00B62920">
        <w:rPr>
          <w:lang w:val="en-GB"/>
        </w:rPr>
        <w:t xml:space="preserve">, </w:t>
      </w:r>
      <w:proofErr w:type="spellStart"/>
      <w:r w:rsidRPr="00B62920">
        <w:rPr>
          <w:i/>
          <w:lang w:val="en-GB"/>
        </w:rPr>
        <w:t>Isayeva</w:t>
      </w:r>
      <w:proofErr w:type="spellEnd"/>
      <w:r w:rsidRPr="00B62920">
        <w:rPr>
          <w:i/>
          <w:lang w:val="en-GB"/>
        </w:rPr>
        <w:t xml:space="preserve"> v. Russia</w:t>
      </w:r>
      <w:r w:rsidRPr="00B62920">
        <w:rPr>
          <w:lang w:val="en-GB"/>
        </w:rPr>
        <w:t>, cited above, at §§ 215</w:t>
      </w:r>
      <w:r w:rsidRPr="00B62920">
        <w:rPr>
          <w:lang w:val="en-GB"/>
        </w:rPr>
        <w:noBreakHyphen/>
        <w:t xml:space="preserve">224; </w:t>
      </w:r>
      <w:proofErr w:type="spellStart"/>
      <w:r w:rsidRPr="00B62920">
        <w:rPr>
          <w:lang w:val="en-GB"/>
        </w:rPr>
        <w:t>ECtHR</w:t>
      </w:r>
      <w:proofErr w:type="spellEnd"/>
      <w:r w:rsidRPr="00B62920">
        <w:rPr>
          <w:lang w:val="en-GB"/>
        </w:rPr>
        <w:t xml:space="preserve">, </w:t>
      </w:r>
      <w:proofErr w:type="spellStart"/>
      <w:r w:rsidRPr="00B62920">
        <w:rPr>
          <w:i/>
          <w:lang w:val="en-GB"/>
        </w:rPr>
        <w:t>Musayev</w:t>
      </w:r>
      <w:proofErr w:type="spellEnd"/>
      <w:r w:rsidRPr="00B62920">
        <w:rPr>
          <w:i/>
          <w:lang w:val="en-GB"/>
        </w:rPr>
        <w:t xml:space="preserve"> and Others v. Russia</w:t>
      </w:r>
      <w:r w:rsidRPr="00B62920">
        <w:rPr>
          <w:lang w:val="en-GB"/>
        </w:rPr>
        <w:t>, nos. 57941/00 and others, judgment of 26 July 2007, §§ 158-165).</w:t>
      </w:r>
      <w:bookmarkEnd w:id="54"/>
      <w:r w:rsidRPr="00B62920">
        <w:rPr>
          <w:lang w:val="en-GB"/>
        </w:rPr>
        <w:t xml:space="preserve"> </w:t>
      </w:r>
    </w:p>
    <w:p w:rsidR="003E3F85" w:rsidRPr="00B62920" w:rsidRDefault="003E3F85" w:rsidP="003E3F85">
      <w:pPr>
        <w:pStyle w:val="ListParagraph"/>
        <w:suppressAutoHyphens w:val="0"/>
        <w:ind w:left="567"/>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lang w:val="en-GB"/>
        </w:rPr>
      </w:pPr>
      <w:bookmarkStart w:id="55" w:name="_Ref404685440"/>
      <w:r w:rsidRPr="00B62920">
        <w:rPr>
          <w:lang w:val="en-GB"/>
        </w:rPr>
        <w:t xml:space="preserve">Similarly, the HRC has held that the right to life, including its procedural guarantees, shall be </w:t>
      </w:r>
      <w:r w:rsidRPr="00B62920">
        <w:t>considered</w:t>
      </w:r>
      <w:r w:rsidRPr="00B62920">
        <w:rPr>
          <w:lang w:val="en-GB"/>
        </w:rPr>
        <w:t xml:space="preserve"> as the supreme right from which no derogation is permitted even in time of public emergency which threatens the life of the nation (see HRC, General Comment No. 6, cited in § </w:t>
      </w:r>
      <w:r w:rsidR="00E879A0" w:rsidRPr="00B62920">
        <w:fldChar w:fldCharType="begin"/>
      </w:r>
      <w:r w:rsidR="00E879A0" w:rsidRPr="00B62920">
        <w:rPr>
          <w:lang w:val="en-GB"/>
        </w:rPr>
        <w:instrText xml:space="preserve"> REF _Ref412809772 \r \h </w:instrText>
      </w:r>
      <w:r w:rsidR="00E879A0" w:rsidRPr="00B62920">
        <w:instrText xml:space="preserve"> \* MERGEFORMAT </w:instrText>
      </w:r>
      <w:r w:rsidR="00E879A0" w:rsidRPr="00B62920">
        <w:fldChar w:fldCharType="separate"/>
      </w:r>
      <w:r w:rsidR="00C60385">
        <w:rPr>
          <w:lang w:val="en-GB"/>
        </w:rPr>
        <w:t>72</w:t>
      </w:r>
      <w:r w:rsidR="00E879A0" w:rsidRPr="00B62920">
        <w:fldChar w:fldCharType="end"/>
      </w:r>
      <w:r w:rsidRPr="00B62920">
        <w:rPr>
          <w:lang w:val="en-GB"/>
        </w:rPr>
        <w:t xml:space="preserve"> above, at § 1; HRC, </w:t>
      </w:r>
      <w:proofErr w:type="spellStart"/>
      <w:r w:rsidRPr="00B62920">
        <w:rPr>
          <w:i/>
          <w:lang w:val="en-GB"/>
        </w:rPr>
        <w:t>Abubakar</w:t>
      </w:r>
      <w:proofErr w:type="spellEnd"/>
      <w:r w:rsidRPr="00B62920">
        <w:rPr>
          <w:i/>
          <w:lang w:val="en-GB"/>
        </w:rPr>
        <w:t xml:space="preserve"> </w:t>
      </w:r>
      <w:proofErr w:type="spellStart"/>
      <w:r w:rsidRPr="00B62920">
        <w:rPr>
          <w:i/>
          <w:lang w:val="en-GB"/>
        </w:rPr>
        <w:t>Amirov</w:t>
      </w:r>
      <w:proofErr w:type="spellEnd"/>
      <w:r w:rsidRPr="00B62920">
        <w:rPr>
          <w:i/>
          <w:lang w:val="en-GB"/>
        </w:rPr>
        <w:t xml:space="preserve"> and </w:t>
      </w:r>
      <w:proofErr w:type="spellStart"/>
      <w:r w:rsidRPr="00B62920">
        <w:rPr>
          <w:i/>
          <w:lang w:val="en-GB"/>
        </w:rPr>
        <w:t>Aïzan</w:t>
      </w:r>
      <w:proofErr w:type="spellEnd"/>
      <w:r w:rsidRPr="00B62920">
        <w:rPr>
          <w:i/>
          <w:lang w:val="en-GB"/>
        </w:rPr>
        <w:t xml:space="preserve"> </w:t>
      </w:r>
      <w:proofErr w:type="spellStart"/>
      <w:r w:rsidRPr="00B62920">
        <w:rPr>
          <w:i/>
          <w:lang w:val="en-GB"/>
        </w:rPr>
        <w:t>Amirova</w:t>
      </w:r>
      <w:proofErr w:type="spellEnd"/>
      <w:r w:rsidRPr="00B62920">
        <w:rPr>
          <w:i/>
          <w:lang w:val="en-GB"/>
        </w:rPr>
        <w:t xml:space="preserve"> v. </w:t>
      </w:r>
      <w:r w:rsidRPr="009C4248">
        <w:rPr>
          <w:lang w:val="en-GB"/>
        </w:rPr>
        <w:t xml:space="preserve">Russian </w:t>
      </w:r>
      <w:r w:rsidRPr="00B62920">
        <w:rPr>
          <w:i/>
          <w:lang w:val="en-GB"/>
        </w:rPr>
        <w:t>Federation</w:t>
      </w:r>
      <w:r w:rsidRPr="00B62920">
        <w:rPr>
          <w:lang w:val="en-GB"/>
        </w:rPr>
        <w:t xml:space="preserve">, communication no. 1447/2006, views of 22 April 2009, § 11.2, </w:t>
      </w:r>
      <w:r w:rsidRPr="00B62920">
        <w:rPr>
          <w:bCs/>
          <w:lang w:val="en-GB"/>
        </w:rPr>
        <w:t>CCPR/C/95/D/1447/2006</w:t>
      </w:r>
      <w:r w:rsidRPr="00B62920">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56" w:name="_Ref343611663"/>
      <w:bookmarkEnd w:id="55"/>
    </w:p>
    <w:p w:rsidR="003E3F85" w:rsidRPr="00B62920" w:rsidRDefault="003E3F85" w:rsidP="003E3F85">
      <w:pPr>
        <w:pStyle w:val="ListParagraph"/>
        <w:rPr>
          <w:lang w:val="en-GB"/>
        </w:rPr>
      </w:pPr>
    </w:p>
    <w:p w:rsidR="003E3F85" w:rsidRPr="00B62920" w:rsidRDefault="003E3F85" w:rsidP="003E3F85">
      <w:pPr>
        <w:numPr>
          <w:ilvl w:val="0"/>
          <w:numId w:val="2"/>
        </w:numPr>
        <w:tabs>
          <w:tab w:val="left" w:pos="709"/>
        </w:tabs>
        <w:suppressAutoHyphens/>
        <w:autoSpaceDE w:val="0"/>
        <w:jc w:val="both"/>
        <w:rPr>
          <w:lang w:val="en-GB"/>
        </w:rPr>
      </w:pPr>
      <w:bookmarkStart w:id="57" w:name="_Ref414025885"/>
      <w:r w:rsidRPr="00B62920">
        <w:rPr>
          <w:lang w:val="en-GB"/>
        </w:rPr>
        <w:t xml:space="preserve">The Panel appreciates the difficulties encountered by UNMIK during the first phase of its </w:t>
      </w:r>
      <w:r w:rsidRPr="00B62920">
        <w:t>deployment</w:t>
      </w:r>
      <w:r w:rsidRPr="00B62920">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B62920">
        <w:rPr>
          <w:i/>
          <w:lang w:val="en-GB"/>
        </w:rPr>
        <w:t>mutatis mutandis</w:t>
      </w:r>
      <w:r w:rsidRPr="00B62920">
        <w:rPr>
          <w:lang w:val="en-GB"/>
        </w:rPr>
        <w:t xml:space="preserve">, ECtHR, </w:t>
      </w:r>
      <w:r w:rsidRPr="00B62920">
        <w:rPr>
          <w:i/>
          <w:lang w:val="en-GB"/>
        </w:rPr>
        <w:t>R.R. and Others v. Hungary</w:t>
      </w:r>
      <w:r w:rsidRPr="00B62920">
        <w:rPr>
          <w:lang w:val="en-GB"/>
        </w:rPr>
        <w:t xml:space="preserve">, no. 19400/11, judgment of 4 December 2012, §§ 28-32), as well as to consider the special vulnerability of displaced persons in post-conflict situations (see </w:t>
      </w:r>
      <w:proofErr w:type="spellStart"/>
      <w:r w:rsidRPr="00B62920">
        <w:rPr>
          <w:lang w:val="en-GB"/>
        </w:rPr>
        <w:t>ECtHR</w:t>
      </w:r>
      <w:proofErr w:type="spellEnd"/>
      <w:r w:rsidRPr="00B62920">
        <w:rPr>
          <w:lang w:val="en-GB"/>
        </w:rPr>
        <w:t xml:space="preserve"> [GC], </w:t>
      </w:r>
      <w:proofErr w:type="spellStart"/>
      <w:r w:rsidRPr="00B62920">
        <w:rPr>
          <w:i/>
          <w:lang w:val="en-GB"/>
        </w:rPr>
        <w:t>Sargsyan</w:t>
      </w:r>
      <w:proofErr w:type="spellEnd"/>
      <w:r w:rsidRPr="00B62920">
        <w:rPr>
          <w:i/>
          <w:lang w:val="en-GB"/>
        </w:rPr>
        <w:t xml:space="preserve"> v. Azerbaijan, </w:t>
      </w:r>
      <w:r w:rsidRPr="00B62920">
        <w:rPr>
          <w:lang w:val="en-GB"/>
        </w:rPr>
        <w:t xml:space="preserve">no. 40167/06, decision of 14 December 2011, § 145; and </w:t>
      </w:r>
      <w:proofErr w:type="spellStart"/>
      <w:r w:rsidRPr="00B62920">
        <w:rPr>
          <w:lang w:val="en-GB"/>
        </w:rPr>
        <w:t>ECtHR</w:t>
      </w:r>
      <w:proofErr w:type="spellEnd"/>
      <w:r w:rsidRPr="00B62920">
        <w:rPr>
          <w:lang w:val="en-GB"/>
        </w:rPr>
        <w:t xml:space="preserve"> [GC], </w:t>
      </w:r>
      <w:proofErr w:type="spellStart"/>
      <w:r w:rsidRPr="00B62920">
        <w:rPr>
          <w:i/>
          <w:lang w:val="en-GB"/>
        </w:rPr>
        <w:t>Chiragov</w:t>
      </w:r>
      <w:proofErr w:type="spellEnd"/>
      <w:r w:rsidRPr="00B62920">
        <w:rPr>
          <w:i/>
          <w:lang w:val="en-GB"/>
        </w:rPr>
        <w:t xml:space="preserve"> and Others v. Armenia</w:t>
      </w:r>
      <w:r w:rsidRPr="00B62920">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B62920">
        <w:fldChar w:fldCharType="begin"/>
      </w:r>
      <w:r w:rsidRPr="00B62920">
        <w:instrText xml:space="preserve"> REF _Ref346123767 \r \h  \* MERGEFORMAT </w:instrText>
      </w:r>
      <w:r w:rsidRPr="00B62920">
        <w:fldChar w:fldCharType="separate"/>
      </w:r>
      <w:r w:rsidR="00C60385" w:rsidRPr="00C60385">
        <w:rPr>
          <w:lang w:val="en-GB"/>
        </w:rPr>
        <w:t>17</w:t>
      </w:r>
      <w:r w:rsidRPr="00B62920">
        <w:fldChar w:fldCharType="end"/>
      </w:r>
      <w:r w:rsidRPr="00B62920">
        <w:rPr>
          <w:lang w:val="en-GB"/>
        </w:rPr>
        <w:t xml:space="preserve"> above).</w:t>
      </w:r>
      <w:bookmarkEnd w:id="56"/>
      <w:bookmarkEnd w:id="57"/>
    </w:p>
    <w:p w:rsidR="003E3F85" w:rsidRPr="00B62920" w:rsidRDefault="003E3F85" w:rsidP="003E3F85">
      <w:pPr>
        <w:pStyle w:val="ListParagraph"/>
        <w:suppressAutoHyphens w:val="0"/>
        <w:ind w:left="567"/>
        <w:contextualSpacing/>
        <w:jc w:val="both"/>
        <w:rPr>
          <w:lang w:val="en-GB" w:eastAsia="en-US"/>
        </w:rPr>
      </w:pPr>
    </w:p>
    <w:p w:rsidR="003E3F85" w:rsidRPr="00B62920" w:rsidRDefault="003E3F85" w:rsidP="003E3F85">
      <w:pPr>
        <w:numPr>
          <w:ilvl w:val="0"/>
          <w:numId w:val="2"/>
        </w:numPr>
        <w:tabs>
          <w:tab w:val="left" w:pos="709"/>
        </w:tabs>
        <w:suppressAutoHyphens/>
        <w:autoSpaceDE w:val="0"/>
        <w:jc w:val="both"/>
        <w:rPr>
          <w:rStyle w:val="sb8d990e2"/>
          <w:lang w:val="en-GB"/>
        </w:rPr>
      </w:pPr>
      <w:bookmarkStart w:id="58" w:name="_Ref366163789"/>
      <w:r w:rsidRPr="00B62920">
        <w:rPr>
          <w:rStyle w:val="sb8d990e2"/>
          <w:lang w:val="en-GB"/>
        </w:rPr>
        <w:t xml:space="preserve">The Panel </w:t>
      </w:r>
      <w:r w:rsidRPr="00B62920">
        <w:t>further</w:t>
      </w:r>
      <w:r w:rsidRPr="00B62920">
        <w:rPr>
          <w:rStyle w:val="sb8d990e2"/>
          <w:lang w:val="en-GB"/>
        </w:rPr>
        <w:t xml:space="preserve"> notes that its task is not to review relevant practices or alleged obstacles to the conduct of effective investigations </w:t>
      </w:r>
      <w:r w:rsidRPr="00B62920">
        <w:rPr>
          <w:rStyle w:val="s6b621b36"/>
          <w:i/>
          <w:lang w:val="en-GB"/>
        </w:rPr>
        <w:t xml:space="preserve">in </w:t>
      </w:r>
      <w:proofErr w:type="spellStart"/>
      <w:r w:rsidRPr="00B62920">
        <w:rPr>
          <w:rStyle w:val="wordhighlighted"/>
          <w:i/>
          <w:lang w:val="en-GB"/>
        </w:rPr>
        <w:t>abstracto</w:t>
      </w:r>
      <w:proofErr w:type="spellEnd"/>
      <w:r w:rsidRPr="00B62920">
        <w:rPr>
          <w:rStyle w:val="sb8d990e2"/>
          <w:lang w:val="en-GB"/>
        </w:rPr>
        <w:t>, but only in relation to their specific </w:t>
      </w:r>
      <w:r w:rsidRPr="00B62920">
        <w:t>application</w:t>
      </w:r>
      <w:r w:rsidRPr="00B62920">
        <w:rPr>
          <w:rStyle w:val="sb8d990e2"/>
          <w:lang w:val="en-GB"/>
        </w:rPr>
        <w:t xml:space="preserve"> to the particular circumstances of a situation subject of a complaint before it (see ECtHR, </w:t>
      </w:r>
      <w:r w:rsidRPr="00B62920">
        <w:rPr>
          <w:rStyle w:val="s6b621b36"/>
          <w:i/>
          <w:lang w:val="en-GB"/>
        </w:rPr>
        <w:t>Brogan and Others v. the United Kingdom</w:t>
      </w:r>
      <w:r w:rsidRPr="00B62920">
        <w:rPr>
          <w:rStyle w:val="sb8d990e2"/>
          <w:lang w:val="en-GB"/>
        </w:rPr>
        <w:t xml:space="preserve">, </w:t>
      </w:r>
      <w:r w:rsidRPr="00B62920">
        <w:rPr>
          <w:rStyle w:val="column01"/>
          <w:lang w:val="en-GB"/>
        </w:rPr>
        <w:t>judgment of</w:t>
      </w:r>
      <w:r w:rsidRPr="00B62920">
        <w:rPr>
          <w:rStyle w:val="sb8d990e2"/>
          <w:lang w:val="en-GB"/>
        </w:rPr>
        <w:t xml:space="preserve"> 29 November 1988,</w:t>
      </w:r>
      <w:r w:rsidRPr="00B62920">
        <w:rPr>
          <w:lang w:val="en-GB"/>
        </w:rPr>
        <w:t xml:space="preserve"> </w:t>
      </w:r>
      <w:r w:rsidRPr="00B62920">
        <w:rPr>
          <w:rStyle w:val="sb8d990e2"/>
          <w:lang w:val="en-GB"/>
        </w:rPr>
        <w:t xml:space="preserve">§ 53, Series A no. 145-B). </w:t>
      </w:r>
      <w:r w:rsidR="008B2B37">
        <w:rPr>
          <w:lang w:val="en-GB"/>
        </w:rPr>
        <w:t xml:space="preserve">The Panel therefore determines that the nature and degree of scrutiny to determine whether the effectiveness of the investigation satisfies the minimum threshold depends on the circumstances of the particular case. </w:t>
      </w:r>
      <w:r w:rsidRPr="00B62920">
        <w:rPr>
          <w:rStyle w:val="sb8d990e2"/>
          <w:lang w:val="en-GB"/>
        </w:rPr>
        <w:t>For these reasons, the Panel considers that it will establish with regard to each case if all reasonable steps were taken to conduct an effective investigation as prescribed by Article 2,</w:t>
      </w:r>
      <w:r w:rsidRPr="00B62920">
        <w:rPr>
          <w:lang w:val="en-GB"/>
        </w:rPr>
        <w:t xml:space="preserve"> </w:t>
      </w:r>
      <w:r w:rsidRPr="00B62920">
        <w:rPr>
          <w:rStyle w:val="sb8d990e2"/>
          <w:lang w:val="en-GB"/>
        </w:rPr>
        <w:t>having regard to the realities of the investigative work in Kosovo.</w:t>
      </w:r>
      <w:bookmarkEnd w:id="58"/>
    </w:p>
    <w:p w:rsidR="003E3F85" w:rsidRPr="00B62920" w:rsidRDefault="003E3F85" w:rsidP="003E3F85">
      <w:pPr>
        <w:pStyle w:val="ListParagraph"/>
        <w:rPr>
          <w:rStyle w:val="sb8d990e2"/>
          <w:lang w:val="en-GB" w:eastAsia="en-US"/>
        </w:rPr>
      </w:pPr>
    </w:p>
    <w:p w:rsidR="003E3F85" w:rsidRPr="00B62920" w:rsidRDefault="003E3F85" w:rsidP="00B41BE6">
      <w:pPr>
        <w:numPr>
          <w:ilvl w:val="0"/>
          <w:numId w:val="2"/>
        </w:numPr>
        <w:tabs>
          <w:tab w:val="left" w:pos="709"/>
        </w:tabs>
        <w:suppressAutoHyphens/>
        <w:autoSpaceDE w:val="0"/>
        <w:jc w:val="both"/>
        <w:rPr>
          <w:lang w:eastAsia="nl-NL"/>
        </w:rPr>
      </w:pPr>
      <w:r w:rsidRPr="00B62920">
        <w:t xml:space="preserve">Lastly, in response to the SRSG’s objection that Article 2 must be interpreted in a way which </w:t>
      </w:r>
      <w:r w:rsidRPr="00B62920">
        <w:rPr>
          <w:lang w:val="en-GB"/>
        </w:rPr>
        <w:t>does</w:t>
      </w:r>
      <w:r w:rsidRPr="00B62920">
        <w:t xml:space="preserve"> not </w:t>
      </w:r>
      <w:r w:rsidRPr="00B62920">
        <w:rPr>
          <w:lang w:val="en-GB"/>
        </w:rPr>
        <w:t>impose</w:t>
      </w:r>
      <w:r w:rsidRPr="00B62920">
        <w:t xml:space="preserve"> an impossible or disproportionate burden on the authorities, e</w:t>
      </w:r>
      <w:r w:rsidR="00622236" w:rsidRPr="00B62920">
        <w:t xml:space="preserve">ither in the context of </w:t>
      </w:r>
      <w:proofErr w:type="spellStart"/>
      <w:r w:rsidR="00622236" w:rsidRPr="00B62920">
        <w:t>policin</w:t>
      </w:r>
      <w:proofErr w:type="spellEnd"/>
      <w:r w:rsidRPr="00B62920">
        <w:rPr>
          <w:lang w:val="en-GB"/>
        </w:rPr>
        <w:t>g</w:t>
      </w:r>
      <w:r w:rsidRPr="00B62920">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B62920">
        <w:t>ECtHR</w:t>
      </w:r>
      <w:proofErr w:type="spellEnd"/>
      <w:r w:rsidRPr="00B62920">
        <w:t xml:space="preserve">, </w:t>
      </w:r>
      <w:proofErr w:type="spellStart"/>
      <w:r w:rsidRPr="00B62920">
        <w:rPr>
          <w:i/>
        </w:rPr>
        <w:t>Palić</w:t>
      </w:r>
      <w:proofErr w:type="spellEnd"/>
      <w:r w:rsidRPr="00B62920">
        <w:rPr>
          <w:i/>
        </w:rPr>
        <w:t xml:space="preserve"> v. Bosnia and Herzegovina,</w:t>
      </w:r>
      <w:r w:rsidRPr="00B62920">
        <w:t xml:space="preserve"> cited in § </w:t>
      </w:r>
      <w:r w:rsidRPr="00B62920">
        <w:fldChar w:fldCharType="begin"/>
      </w:r>
      <w:r w:rsidRPr="00B62920">
        <w:instrText xml:space="preserve"> REF _Ref366239979 \r \h  \* MERGEFORMAT </w:instrText>
      </w:r>
      <w:r w:rsidRPr="00B62920">
        <w:fldChar w:fldCharType="separate"/>
      </w:r>
      <w:r w:rsidR="00C60385">
        <w:t>76</w:t>
      </w:r>
      <w:r w:rsidRPr="00B62920">
        <w:fldChar w:fldCharType="end"/>
      </w:r>
      <w:r w:rsidRPr="00B62920">
        <w:t xml:space="preserve"> above, at § 70; </w:t>
      </w:r>
      <w:proofErr w:type="spellStart"/>
      <w:r w:rsidR="00B41BE6" w:rsidRPr="00B62920">
        <w:t>ECtHR</w:t>
      </w:r>
      <w:proofErr w:type="spellEnd"/>
      <w:r w:rsidR="00B41BE6" w:rsidRPr="00B62920">
        <w:t xml:space="preserve">, </w:t>
      </w:r>
      <w:proofErr w:type="spellStart"/>
      <w:r w:rsidRPr="00B62920">
        <w:rPr>
          <w:i/>
        </w:rPr>
        <w:t>Brecknell</w:t>
      </w:r>
      <w:proofErr w:type="spellEnd"/>
      <w:r w:rsidRPr="00B62920">
        <w:rPr>
          <w:i/>
        </w:rPr>
        <w:t xml:space="preserve"> v. The United Kingdom,</w:t>
      </w:r>
      <w:r w:rsidRPr="00B62920">
        <w:t xml:space="preserve"> no. 32457/04, judgment of 27 November 2007, § 62).</w:t>
      </w:r>
    </w:p>
    <w:p w:rsidR="00CE4484" w:rsidRPr="00B62920" w:rsidRDefault="00CE4484" w:rsidP="00CE4484">
      <w:pPr>
        <w:pStyle w:val="ListParagraph"/>
        <w:rPr>
          <w:lang w:eastAsia="nl-NL"/>
        </w:rPr>
      </w:pPr>
    </w:p>
    <w:p w:rsidR="00CE4484" w:rsidRPr="00B62920" w:rsidRDefault="00CE4484" w:rsidP="00CE4484">
      <w:pPr>
        <w:numPr>
          <w:ilvl w:val="0"/>
          <w:numId w:val="2"/>
        </w:numPr>
        <w:contextualSpacing/>
        <w:jc w:val="both"/>
        <w:rPr>
          <w:rStyle w:val="sb8d990e2"/>
          <w:color w:val="000000" w:themeColor="text1"/>
          <w:lang w:val="en-GB"/>
        </w:rPr>
      </w:pPr>
      <w:bookmarkStart w:id="59" w:name="_Ref403834230"/>
      <w:r w:rsidRPr="00B62920">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w:t>
      </w:r>
      <w:proofErr w:type="spellStart"/>
      <w:r w:rsidRPr="00B62920">
        <w:rPr>
          <w:rStyle w:val="sb8d990e2"/>
          <w:color w:val="000000" w:themeColor="text1"/>
          <w:lang w:val="en-GB"/>
        </w:rPr>
        <w:t>ECtHR</w:t>
      </w:r>
      <w:proofErr w:type="spellEnd"/>
      <w:r w:rsidRPr="00B62920">
        <w:rPr>
          <w:rStyle w:val="sb8d990e2"/>
          <w:color w:val="000000" w:themeColor="text1"/>
          <w:lang w:val="en-GB"/>
        </w:rPr>
        <w:t xml:space="preserve">, </w:t>
      </w:r>
      <w:proofErr w:type="spellStart"/>
      <w:r w:rsidRPr="00B62920">
        <w:rPr>
          <w:rStyle w:val="sb8d990e2"/>
          <w:i/>
          <w:color w:val="000000" w:themeColor="text1"/>
          <w:lang w:val="en-GB"/>
        </w:rPr>
        <w:t>Aslakhanova</w:t>
      </w:r>
      <w:proofErr w:type="spellEnd"/>
      <w:r w:rsidRPr="00B62920">
        <w:rPr>
          <w:rStyle w:val="sb8d990e2"/>
          <w:i/>
          <w:color w:val="000000" w:themeColor="text1"/>
          <w:lang w:val="en-GB"/>
        </w:rPr>
        <w:t xml:space="preserve"> and Others v. Russia</w:t>
      </w:r>
      <w:r w:rsidRPr="00B62920">
        <w:rPr>
          <w:rStyle w:val="sb8d990e2"/>
          <w:color w:val="000000" w:themeColor="text1"/>
          <w:lang w:val="en-GB"/>
        </w:rPr>
        <w:t xml:space="preserve">, cited in § </w:t>
      </w:r>
      <w:r w:rsidRPr="00B62920">
        <w:rPr>
          <w:rStyle w:val="sb8d990e2"/>
          <w:color w:val="000000" w:themeColor="text1"/>
          <w:lang w:val="en-GB"/>
        </w:rPr>
        <w:fldChar w:fldCharType="begin"/>
      </w:r>
      <w:r w:rsidRPr="00B62920">
        <w:rPr>
          <w:rStyle w:val="sb8d990e2"/>
          <w:color w:val="000000" w:themeColor="text1"/>
          <w:lang w:val="en-GB"/>
        </w:rPr>
        <w:instrText xml:space="preserve"> REF _Ref373950745 \r \h </w:instrText>
      </w:r>
      <w:r w:rsidR="00393E7A" w:rsidRPr="00B62920">
        <w:rPr>
          <w:rStyle w:val="sb8d990e2"/>
          <w:color w:val="000000" w:themeColor="text1"/>
          <w:lang w:val="en-GB"/>
        </w:rPr>
        <w:instrText xml:space="preserve"> \* MERGEFORMAT </w:instrText>
      </w:r>
      <w:r w:rsidRPr="00B62920">
        <w:rPr>
          <w:rStyle w:val="sb8d990e2"/>
          <w:color w:val="000000" w:themeColor="text1"/>
          <w:lang w:val="en-GB"/>
        </w:rPr>
      </w:r>
      <w:r w:rsidRPr="00B62920">
        <w:rPr>
          <w:rStyle w:val="sb8d990e2"/>
          <w:color w:val="000000" w:themeColor="text1"/>
          <w:lang w:val="en-GB"/>
        </w:rPr>
        <w:fldChar w:fldCharType="separate"/>
      </w:r>
      <w:r w:rsidR="00C60385">
        <w:rPr>
          <w:rStyle w:val="sb8d990e2"/>
          <w:color w:val="000000" w:themeColor="text1"/>
          <w:lang w:val="en-GB"/>
        </w:rPr>
        <w:t>79</w:t>
      </w:r>
      <w:r w:rsidRPr="00B62920">
        <w:rPr>
          <w:rStyle w:val="sb8d990e2"/>
          <w:color w:val="000000" w:themeColor="text1"/>
          <w:lang w:val="en-GB"/>
        </w:rPr>
        <w:fldChar w:fldCharType="end"/>
      </w:r>
      <w:r w:rsidRPr="00B62920">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59"/>
    </w:p>
    <w:p w:rsidR="003E3F85" w:rsidRPr="00B62920" w:rsidRDefault="003E3F85" w:rsidP="001C2817">
      <w:pPr>
        <w:rPr>
          <w:rStyle w:val="sb8d990e2"/>
          <w:lang w:eastAsia="nl-NL"/>
        </w:rPr>
      </w:pPr>
    </w:p>
    <w:p w:rsidR="003E3F85" w:rsidRPr="00B62920" w:rsidRDefault="003E3F85" w:rsidP="003E3F85">
      <w:pPr>
        <w:pStyle w:val="ListParagraph"/>
        <w:numPr>
          <w:ilvl w:val="0"/>
          <w:numId w:val="7"/>
        </w:numPr>
        <w:contextualSpacing/>
        <w:jc w:val="both"/>
        <w:rPr>
          <w:i/>
          <w:lang w:val="en-GB"/>
        </w:rPr>
      </w:pPr>
      <w:r w:rsidRPr="00B62920">
        <w:rPr>
          <w:i/>
          <w:lang w:val="en-GB"/>
        </w:rPr>
        <w:t>Compliance with Article 2 in the present case</w:t>
      </w:r>
    </w:p>
    <w:p w:rsidR="00874A40" w:rsidRPr="00B62920" w:rsidRDefault="00874A40" w:rsidP="006C6331">
      <w:pPr>
        <w:suppressAutoHyphens/>
        <w:autoSpaceDE w:val="0"/>
        <w:jc w:val="both"/>
      </w:pPr>
    </w:p>
    <w:p w:rsidR="00276673" w:rsidRPr="004058E4" w:rsidRDefault="00276673" w:rsidP="00276673">
      <w:pPr>
        <w:numPr>
          <w:ilvl w:val="0"/>
          <w:numId w:val="2"/>
        </w:numPr>
        <w:autoSpaceDE w:val="0"/>
        <w:contextualSpacing/>
        <w:jc w:val="both"/>
        <w:rPr>
          <w:bCs/>
          <w:lang w:val="en-GB"/>
        </w:rPr>
      </w:pPr>
      <w:bookmarkStart w:id="60" w:name="_Ref410388644"/>
      <w:r w:rsidRPr="004058E4">
        <w:rPr>
          <w:bCs/>
          <w:lang w:val="en-GB"/>
        </w:rPr>
        <w:t xml:space="preserve">Turning to the circumstances of the present case, the Panel </w:t>
      </w:r>
      <w:r w:rsidRPr="004058E4">
        <w:rPr>
          <w:lang w:val="en-GB"/>
        </w:rPr>
        <w:t xml:space="preserve">notes that Mrs Vera </w:t>
      </w:r>
      <w:proofErr w:type="spellStart"/>
      <w:r w:rsidRPr="004058E4">
        <w:rPr>
          <w:lang w:val="en-GB"/>
        </w:rPr>
        <w:t>Škripac</w:t>
      </w:r>
      <w:proofErr w:type="spellEnd"/>
      <w:r w:rsidRPr="004058E4">
        <w:rPr>
          <w:lang w:val="en-GB"/>
        </w:rPr>
        <w:t xml:space="preserve"> was abducted on 11 September 1999. Based upon the information in the investigative file, UNMIK became aware of her disappearance a few days after the abduction, not later than 21 September 1999, when UNMIK Police started an investigation into the matter (see § 29 above). </w:t>
      </w:r>
    </w:p>
    <w:p w:rsidR="00276673" w:rsidRPr="004058E4" w:rsidRDefault="00276673" w:rsidP="00276673">
      <w:pPr>
        <w:tabs>
          <w:tab w:val="left" w:pos="709"/>
        </w:tabs>
        <w:suppressAutoHyphens/>
        <w:autoSpaceDE w:val="0"/>
        <w:jc w:val="both"/>
        <w:rPr>
          <w:lang w:val="en-GB"/>
        </w:rPr>
      </w:pPr>
    </w:p>
    <w:p w:rsidR="00276673" w:rsidRPr="004058E4" w:rsidRDefault="000D373B" w:rsidP="00276673">
      <w:pPr>
        <w:numPr>
          <w:ilvl w:val="0"/>
          <w:numId w:val="2"/>
        </w:numPr>
        <w:autoSpaceDE w:val="0"/>
        <w:contextualSpacing/>
        <w:jc w:val="both"/>
        <w:rPr>
          <w:lang w:val="en-GB"/>
        </w:rPr>
      </w:pPr>
      <w:r w:rsidRPr="004058E4">
        <w:rPr>
          <w:lang w:val="en-GB" w:eastAsia="en-GB"/>
        </w:rPr>
        <w:t>In</w:t>
      </w:r>
      <w:r w:rsidR="00276673" w:rsidRPr="004058E4">
        <w:rPr>
          <w:lang w:val="en-GB"/>
        </w:rPr>
        <w:t xml:space="preserve">  light of the considerations developed above concerning its </w:t>
      </w:r>
      <w:r w:rsidR="00276673" w:rsidRPr="004058E4">
        <w:rPr>
          <w:lang w:eastAsia="ar-SA"/>
        </w:rPr>
        <w:t>limited</w:t>
      </w:r>
      <w:r w:rsidR="00276673" w:rsidRPr="004058E4">
        <w:rPr>
          <w:lang w:val="en-GB"/>
        </w:rPr>
        <w:t xml:space="preserve"> temporal jurisdiction (see § </w:t>
      </w:r>
      <w:r w:rsidR="00276673" w:rsidRPr="004058E4">
        <w:rPr>
          <w:lang w:val="en-GB"/>
        </w:rPr>
        <w:fldChar w:fldCharType="begin"/>
      </w:r>
      <w:r w:rsidR="00276673" w:rsidRPr="004058E4">
        <w:rPr>
          <w:lang w:val="en-GB"/>
        </w:rPr>
        <w:instrText xml:space="preserve"> REF _Ref346123885 \r \h  \* MERGEFORMAT </w:instrText>
      </w:r>
      <w:r w:rsidR="00276673" w:rsidRPr="004058E4">
        <w:rPr>
          <w:lang w:val="en-GB"/>
        </w:rPr>
      </w:r>
      <w:r w:rsidR="00276673" w:rsidRPr="004058E4">
        <w:rPr>
          <w:lang w:val="en-GB"/>
        </w:rPr>
        <w:fldChar w:fldCharType="separate"/>
      </w:r>
      <w:r w:rsidR="00C60385">
        <w:rPr>
          <w:lang w:val="en-GB"/>
        </w:rPr>
        <w:t>47</w:t>
      </w:r>
      <w:r w:rsidR="00276673" w:rsidRPr="004058E4">
        <w:rPr>
          <w:lang w:val="en-GB"/>
        </w:rPr>
        <w:fldChar w:fldCharType="end"/>
      </w:r>
      <w:r w:rsidRPr="004058E4">
        <w:rPr>
          <w:lang w:val="en-GB"/>
        </w:rPr>
        <w:t xml:space="preserve"> </w:t>
      </w:r>
      <w:r w:rsidR="00276673" w:rsidRPr="004058E4">
        <w:rPr>
          <w:lang w:val="en-GB"/>
        </w:rPr>
        <w:t xml:space="preserve">above), the Panel recalls that it is competent </w:t>
      </w:r>
      <w:proofErr w:type="spellStart"/>
      <w:r w:rsidR="00276673" w:rsidRPr="004058E4">
        <w:rPr>
          <w:i/>
          <w:lang w:val="en-GB"/>
        </w:rPr>
        <w:t>ratione</w:t>
      </w:r>
      <w:proofErr w:type="spellEnd"/>
      <w:r w:rsidR="00276673" w:rsidRPr="004058E4">
        <w:rPr>
          <w:i/>
          <w:lang w:val="en-GB"/>
        </w:rPr>
        <w:t xml:space="preserve"> </w:t>
      </w:r>
      <w:proofErr w:type="spellStart"/>
      <w:r w:rsidR="00276673" w:rsidRPr="004058E4">
        <w:rPr>
          <w:i/>
          <w:lang w:val="en-GB"/>
        </w:rPr>
        <w:t>temporis</w:t>
      </w:r>
      <w:proofErr w:type="spellEnd"/>
      <w:r w:rsidR="00276673" w:rsidRPr="004058E4">
        <w:rPr>
          <w:lang w:val="en-GB"/>
        </w:rPr>
        <w:t xml:space="preserve"> to evaluate the compliance of the investigation with Article 2 of the ECHR only for the period after 23 April 2005, while taking into consideration the state of the case at that date (see </w:t>
      </w:r>
      <w:proofErr w:type="spellStart"/>
      <w:r w:rsidR="00276673" w:rsidRPr="004058E4">
        <w:rPr>
          <w:lang w:val="en-GB"/>
        </w:rPr>
        <w:t>ECtHR</w:t>
      </w:r>
      <w:proofErr w:type="spellEnd"/>
      <w:r w:rsidR="00276673" w:rsidRPr="004058E4">
        <w:rPr>
          <w:lang w:val="en-GB"/>
        </w:rPr>
        <w:t xml:space="preserve">, </w:t>
      </w:r>
      <w:proofErr w:type="spellStart"/>
      <w:r w:rsidR="00276673" w:rsidRPr="004058E4">
        <w:rPr>
          <w:i/>
        </w:rPr>
        <w:t>Palić</w:t>
      </w:r>
      <w:proofErr w:type="spellEnd"/>
      <w:r w:rsidR="00276673" w:rsidRPr="004058E4">
        <w:rPr>
          <w:i/>
        </w:rPr>
        <w:t xml:space="preserve"> v. Bosnia and Herzegovina,</w:t>
      </w:r>
      <w:r w:rsidR="00276673" w:rsidRPr="004058E4">
        <w:t xml:space="preserve"> cited in § </w:t>
      </w:r>
      <w:r w:rsidR="00276673" w:rsidRPr="004058E4">
        <w:fldChar w:fldCharType="begin"/>
      </w:r>
      <w:r w:rsidR="00276673" w:rsidRPr="004058E4">
        <w:instrText xml:space="preserve"> REF _Ref346724174 \r \h  \* MERGEFORMAT </w:instrText>
      </w:r>
      <w:r w:rsidR="00276673" w:rsidRPr="004058E4">
        <w:fldChar w:fldCharType="separate"/>
      </w:r>
      <w:r w:rsidR="00C60385">
        <w:t>75</w:t>
      </w:r>
      <w:r w:rsidR="00276673" w:rsidRPr="004058E4">
        <w:fldChar w:fldCharType="end"/>
      </w:r>
      <w:r w:rsidR="00276673" w:rsidRPr="004058E4">
        <w:t xml:space="preserve"> above, at § 70</w:t>
      </w:r>
      <w:r w:rsidR="00276673" w:rsidRPr="004058E4">
        <w:rPr>
          <w:lang w:val="en-GB"/>
        </w:rPr>
        <w:t xml:space="preserve">). The period under review ends on 9 December 2008, with EULEX taking over responsibility in the area of administration of justice (see § </w:t>
      </w:r>
      <w:r w:rsidR="00276673" w:rsidRPr="004058E4">
        <w:rPr>
          <w:lang w:val="en-GB"/>
        </w:rPr>
        <w:fldChar w:fldCharType="begin"/>
      </w:r>
      <w:r w:rsidR="00276673" w:rsidRPr="004058E4">
        <w:rPr>
          <w:lang w:val="en-GB"/>
        </w:rPr>
        <w:instrText xml:space="preserve"> REF _Ref346123928 \r \h  \* MERGEFORMAT </w:instrText>
      </w:r>
      <w:r w:rsidR="00276673" w:rsidRPr="004058E4">
        <w:rPr>
          <w:lang w:val="en-GB"/>
        </w:rPr>
      </w:r>
      <w:r w:rsidR="00276673" w:rsidRPr="004058E4">
        <w:rPr>
          <w:lang w:val="en-GB"/>
        </w:rPr>
        <w:fldChar w:fldCharType="separate"/>
      </w:r>
      <w:r w:rsidR="00C60385">
        <w:rPr>
          <w:lang w:val="en-GB"/>
        </w:rPr>
        <w:t>20</w:t>
      </w:r>
      <w:r w:rsidR="00276673" w:rsidRPr="004058E4">
        <w:rPr>
          <w:lang w:val="en-GB"/>
        </w:rPr>
        <w:fldChar w:fldCharType="end"/>
      </w:r>
      <w:r w:rsidR="00276673" w:rsidRPr="004058E4">
        <w:rPr>
          <w:lang w:val="en-GB"/>
        </w:rPr>
        <w:t xml:space="preserve"> above).</w:t>
      </w:r>
    </w:p>
    <w:p w:rsidR="004958C7" w:rsidRDefault="004958C7" w:rsidP="004958C7">
      <w:pPr>
        <w:pStyle w:val="ListParagraph"/>
        <w:rPr>
          <w:highlight w:val="yellow"/>
          <w:lang w:val="en-GB"/>
        </w:rPr>
      </w:pPr>
    </w:p>
    <w:p w:rsidR="004958C7" w:rsidRPr="004058E4" w:rsidRDefault="004958C7" w:rsidP="004958C7">
      <w:pPr>
        <w:numPr>
          <w:ilvl w:val="0"/>
          <w:numId w:val="2"/>
        </w:numPr>
        <w:tabs>
          <w:tab w:val="left" w:pos="709"/>
        </w:tabs>
        <w:suppressAutoHyphens/>
        <w:autoSpaceDE w:val="0"/>
        <w:jc w:val="both"/>
      </w:pPr>
      <w:bookmarkStart w:id="61" w:name="_Ref379796585"/>
      <w:r w:rsidRPr="004058E4">
        <w:t>The Panel notes in this regard that according to the 2000 Annual Report of UNMIK Police, the complete executive policing powers in the Prishtinë/</w:t>
      </w:r>
      <w:r w:rsidRPr="004058E4">
        <w:rPr>
          <w:lang w:val="en-GB"/>
        </w:rPr>
        <w:t>Priština</w:t>
      </w:r>
      <w:r w:rsidRPr="004058E4">
        <w:t xml:space="preserve"> region, including criminal investigations, were handed over from KFOR to UNMIK Police in September 1999. Therefore, it was UNMIK’s responsibility to ensure, </w:t>
      </w:r>
      <w:r w:rsidRPr="004058E4">
        <w:rPr>
          <w:i/>
        </w:rPr>
        <w:t>first</w:t>
      </w:r>
      <w:r w:rsidRPr="004058E4">
        <w:t xml:space="preserve">, that the investigation is conducted expeditiously and efficiently; </w:t>
      </w:r>
      <w:r w:rsidRPr="004058E4">
        <w:rPr>
          <w:i/>
        </w:rPr>
        <w:t>second</w:t>
      </w:r>
      <w:r w:rsidRPr="004058E4">
        <w:t xml:space="preserve">, that all relevant investigative material is properly handed over to the authority assuming responsibility for the investigation (EULEX); and </w:t>
      </w:r>
      <w:r w:rsidRPr="004058E4">
        <w:rPr>
          <w:i/>
        </w:rPr>
        <w:t>third</w:t>
      </w:r>
      <w:r w:rsidRPr="004058E4">
        <w:t>, that the investigative files could be traced and retrieved, should a need for that arise at any later stage.</w:t>
      </w:r>
      <w:bookmarkEnd w:id="61"/>
    </w:p>
    <w:p w:rsidR="000D373B" w:rsidRPr="004058E4" w:rsidRDefault="000D373B" w:rsidP="000D373B">
      <w:pPr>
        <w:autoSpaceDE w:val="0"/>
        <w:contextualSpacing/>
        <w:jc w:val="both"/>
        <w:rPr>
          <w:lang w:val="en-GB"/>
        </w:rPr>
      </w:pPr>
    </w:p>
    <w:p w:rsidR="00276673" w:rsidRPr="004058E4" w:rsidRDefault="000D373B" w:rsidP="00276673">
      <w:pPr>
        <w:numPr>
          <w:ilvl w:val="0"/>
          <w:numId w:val="2"/>
        </w:numPr>
        <w:autoSpaceDE w:val="0"/>
        <w:contextualSpacing/>
        <w:jc w:val="both"/>
        <w:rPr>
          <w:bCs/>
          <w:lang w:val="en-GB"/>
        </w:rPr>
      </w:pPr>
      <w:r w:rsidRPr="004058E4">
        <w:rPr>
          <w:bCs/>
          <w:lang w:val="en-GB"/>
        </w:rPr>
        <w:t xml:space="preserve">The Panel notes that an early investigation was carried out into the </w:t>
      </w:r>
      <w:r w:rsidR="00BE05AC" w:rsidRPr="004058E4">
        <w:rPr>
          <w:bCs/>
          <w:lang w:val="en-GB"/>
        </w:rPr>
        <w:t xml:space="preserve">abduction and disappearance of </w:t>
      </w:r>
      <w:r w:rsidR="00BE05AC" w:rsidRPr="004058E4">
        <w:rPr>
          <w:lang w:val="en-GB"/>
        </w:rPr>
        <w:t xml:space="preserve">Mrs Vera </w:t>
      </w:r>
      <w:proofErr w:type="spellStart"/>
      <w:r w:rsidR="00BE05AC" w:rsidRPr="004058E4">
        <w:rPr>
          <w:lang w:val="en-GB"/>
        </w:rPr>
        <w:t>Škripac</w:t>
      </w:r>
      <w:proofErr w:type="spellEnd"/>
      <w:r w:rsidR="00BE05AC" w:rsidRPr="004058E4">
        <w:rPr>
          <w:lang w:val="en-GB"/>
        </w:rPr>
        <w:t>, from 21 Septe</w:t>
      </w:r>
      <w:r w:rsidR="00740398" w:rsidRPr="004058E4">
        <w:rPr>
          <w:lang w:val="en-GB"/>
        </w:rPr>
        <w:t>mber to 25 September 1999</w:t>
      </w:r>
      <w:r w:rsidR="00BE05AC" w:rsidRPr="004058E4">
        <w:rPr>
          <w:lang w:val="en-GB"/>
        </w:rPr>
        <w:t xml:space="preserve">. According to the investigative documents, </w:t>
      </w:r>
      <w:r w:rsidR="007C5810" w:rsidRPr="004058E4">
        <w:rPr>
          <w:lang w:val="en-GB"/>
        </w:rPr>
        <w:t xml:space="preserve">KFOR learnt about the disappearance of Mrs Vera </w:t>
      </w:r>
      <w:proofErr w:type="spellStart"/>
      <w:r w:rsidR="007C5810" w:rsidRPr="004058E4">
        <w:rPr>
          <w:lang w:val="en-GB"/>
        </w:rPr>
        <w:t>Škripac</w:t>
      </w:r>
      <w:proofErr w:type="spellEnd"/>
      <w:r w:rsidR="007C5810" w:rsidRPr="004058E4">
        <w:rPr>
          <w:lang w:val="en-GB"/>
        </w:rPr>
        <w:t xml:space="preserve"> on 13 September 1999; however it is not clear from the file whether </w:t>
      </w:r>
      <w:r w:rsidR="00BE35E8" w:rsidRPr="004058E4">
        <w:rPr>
          <w:lang w:val="en-GB"/>
        </w:rPr>
        <w:t xml:space="preserve">it </w:t>
      </w:r>
      <w:r w:rsidR="007C5810" w:rsidRPr="004058E4">
        <w:rPr>
          <w:lang w:val="en-GB"/>
        </w:rPr>
        <w:t>transmitted this information to the UNMIK Police and</w:t>
      </w:r>
      <w:r w:rsidR="00BE35E8" w:rsidRPr="004058E4">
        <w:rPr>
          <w:lang w:val="en-GB"/>
        </w:rPr>
        <w:t>, if so,</w:t>
      </w:r>
      <w:r w:rsidR="007C5810" w:rsidRPr="004058E4">
        <w:rPr>
          <w:lang w:val="en-GB"/>
        </w:rPr>
        <w:t xml:space="preserve"> when. The file shows that on 21 September 1999, an UNMIK Police officer reported the matter to her chain of command (reportedly for the fourth time), which prompted this round of investigations. On the same day, 21 September 1999, UNMIK Police: visited the flat of Mrs Vera </w:t>
      </w:r>
      <w:proofErr w:type="spellStart"/>
      <w:r w:rsidR="007C5810" w:rsidRPr="004058E4">
        <w:rPr>
          <w:lang w:val="en-GB"/>
        </w:rPr>
        <w:t>Škripac</w:t>
      </w:r>
      <w:proofErr w:type="spellEnd"/>
      <w:r w:rsidR="007C5810" w:rsidRPr="004058E4">
        <w:rPr>
          <w:lang w:val="en-GB"/>
        </w:rPr>
        <w:t>, contacted the complainant</w:t>
      </w:r>
      <w:r w:rsidR="00BE35E8" w:rsidRPr="004058E4">
        <w:rPr>
          <w:lang w:val="en-GB"/>
        </w:rPr>
        <w:t xml:space="preserve"> by phone</w:t>
      </w:r>
      <w:r w:rsidR="007C5810" w:rsidRPr="004058E4">
        <w:rPr>
          <w:lang w:val="en-GB"/>
        </w:rPr>
        <w:t xml:space="preserve"> to confirm that the occupation of the flat by J.H. was legal, took a statement from the only eye-wi</w:t>
      </w:r>
      <w:r w:rsidR="00BE35E8" w:rsidRPr="004058E4">
        <w:rPr>
          <w:lang w:val="en-GB"/>
        </w:rPr>
        <w:t>tness to the abduction, Mr B.K</w:t>
      </w:r>
      <w:r w:rsidR="00F80931">
        <w:rPr>
          <w:lang w:val="en-GB"/>
        </w:rPr>
        <w:t>.</w:t>
      </w:r>
      <w:r w:rsidR="00BE35E8" w:rsidRPr="004058E4">
        <w:rPr>
          <w:lang w:val="en-GB"/>
        </w:rPr>
        <w:t xml:space="preserve"> and </w:t>
      </w:r>
      <w:r w:rsidR="007C5810" w:rsidRPr="004058E4">
        <w:rPr>
          <w:lang w:val="en-GB"/>
        </w:rPr>
        <w:t>questioned at least two neighbours living in the same building as Mr</w:t>
      </w:r>
      <w:r w:rsidR="00BE35E8" w:rsidRPr="004058E4">
        <w:rPr>
          <w:lang w:val="en-GB"/>
        </w:rPr>
        <w:t xml:space="preserve">s Vera </w:t>
      </w:r>
      <w:proofErr w:type="spellStart"/>
      <w:r w:rsidR="00BE35E8" w:rsidRPr="004058E4">
        <w:rPr>
          <w:lang w:val="en-GB"/>
        </w:rPr>
        <w:t>Škripac</w:t>
      </w:r>
      <w:proofErr w:type="spellEnd"/>
      <w:r w:rsidR="00BE35E8" w:rsidRPr="004058E4">
        <w:rPr>
          <w:lang w:val="en-GB"/>
        </w:rPr>
        <w:t>, without</w:t>
      </w:r>
      <w:r w:rsidR="007C5810" w:rsidRPr="004058E4">
        <w:rPr>
          <w:lang w:val="en-GB"/>
        </w:rPr>
        <w:t xml:space="preserve"> taking any witness statement from them.</w:t>
      </w:r>
      <w:r w:rsidR="00B96670" w:rsidRPr="004058E4">
        <w:rPr>
          <w:lang w:val="en-GB"/>
        </w:rPr>
        <w:t xml:space="preserve"> According to this investigation, none of the persons questioned knew who Mrs Vera </w:t>
      </w:r>
      <w:proofErr w:type="spellStart"/>
      <w:r w:rsidR="00B96670" w:rsidRPr="004058E4">
        <w:rPr>
          <w:lang w:val="en-GB"/>
        </w:rPr>
        <w:t>Škripac’s</w:t>
      </w:r>
      <w:proofErr w:type="spellEnd"/>
      <w:r w:rsidR="00B96670" w:rsidRPr="004058E4">
        <w:rPr>
          <w:lang w:val="en-GB"/>
        </w:rPr>
        <w:t xml:space="preserve"> abductors were. Mr B.K. reportedly provided the description of the car </w:t>
      </w:r>
      <w:r w:rsidR="00A42CB2" w:rsidRPr="004058E4">
        <w:rPr>
          <w:lang w:val="en-GB"/>
        </w:rPr>
        <w:t>that he had been forced inside during his abduction</w:t>
      </w:r>
      <w:r w:rsidR="00B96670" w:rsidRPr="004058E4">
        <w:rPr>
          <w:lang w:val="en-GB"/>
        </w:rPr>
        <w:t xml:space="preserve">, but there is no indication in the file that UNMIK Police tried to locate it. The Panel also notes that there was no statement taken from the neighbours of Mrs Vera </w:t>
      </w:r>
      <w:proofErr w:type="spellStart"/>
      <w:r w:rsidR="00B96670" w:rsidRPr="004058E4">
        <w:rPr>
          <w:lang w:val="en-GB"/>
        </w:rPr>
        <w:t>Škripac</w:t>
      </w:r>
      <w:proofErr w:type="spellEnd"/>
      <w:r w:rsidR="00B96670" w:rsidRPr="004058E4">
        <w:rPr>
          <w:lang w:val="en-GB"/>
        </w:rPr>
        <w:t xml:space="preserve"> and that no attempt was made, according to the file, by the UNMIK Police to identify and question the Kosovo Albanian neighbour </w:t>
      </w:r>
      <w:r w:rsidR="00704A8F" w:rsidRPr="004058E4">
        <w:rPr>
          <w:lang w:val="en-GB"/>
        </w:rPr>
        <w:t xml:space="preserve">who </w:t>
      </w:r>
      <w:r w:rsidR="00B96670" w:rsidRPr="004058E4">
        <w:rPr>
          <w:lang w:val="en-GB"/>
        </w:rPr>
        <w:t xml:space="preserve">had reported twice to the UNMIK Police that </w:t>
      </w:r>
      <w:r w:rsidR="00A42CB2" w:rsidRPr="004058E4">
        <w:rPr>
          <w:lang w:val="en-GB"/>
        </w:rPr>
        <w:t xml:space="preserve">Mrs Vera </w:t>
      </w:r>
      <w:proofErr w:type="spellStart"/>
      <w:r w:rsidR="00A42CB2" w:rsidRPr="004058E4">
        <w:rPr>
          <w:lang w:val="en-GB"/>
        </w:rPr>
        <w:t>Škripac</w:t>
      </w:r>
      <w:proofErr w:type="spellEnd"/>
      <w:r w:rsidR="00B96670" w:rsidRPr="004058E4">
        <w:rPr>
          <w:lang w:val="en-GB"/>
        </w:rPr>
        <w:t xml:space="preserve"> might be in danger, even before her disappearance (see § 27 above). The Panel notes that, at this stage</w:t>
      </w:r>
      <w:r w:rsidR="00032135" w:rsidRPr="004058E4">
        <w:rPr>
          <w:lang w:val="en-GB"/>
        </w:rPr>
        <w:t>,</w:t>
      </w:r>
      <w:r w:rsidR="00B96670" w:rsidRPr="004058E4">
        <w:rPr>
          <w:lang w:val="en-GB"/>
        </w:rPr>
        <w:t xml:space="preserve"> the</w:t>
      </w:r>
      <w:r w:rsidR="00E60ACB" w:rsidRPr="004058E4">
        <w:rPr>
          <w:lang w:val="en-GB"/>
        </w:rPr>
        <w:t xml:space="preserve"> findings of the investigation were</w:t>
      </w:r>
      <w:r w:rsidR="00B96670" w:rsidRPr="004058E4">
        <w:rPr>
          <w:lang w:val="en-GB"/>
        </w:rPr>
        <w:t xml:space="preserve"> inconclusive. </w:t>
      </w:r>
    </w:p>
    <w:p w:rsidR="00D94006" w:rsidRPr="004058E4" w:rsidRDefault="00D94006" w:rsidP="00D94006">
      <w:pPr>
        <w:autoSpaceDE w:val="0"/>
        <w:ind w:left="360"/>
        <w:contextualSpacing/>
        <w:jc w:val="both"/>
        <w:rPr>
          <w:bCs/>
          <w:lang w:val="en-GB"/>
        </w:rPr>
      </w:pPr>
    </w:p>
    <w:p w:rsidR="00D94006" w:rsidRPr="004058E4" w:rsidRDefault="00D94006" w:rsidP="00276673">
      <w:pPr>
        <w:numPr>
          <w:ilvl w:val="0"/>
          <w:numId w:val="2"/>
        </w:numPr>
        <w:autoSpaceDE w:val="0"/>
        <w:contextualSpacing/>
        <w:jc w:val="both"/>
        <w:rPr>
          <w:bCs/>
          <w:lang w:val="en-GB"/>
        </w:rPr>
      </w:pPr>
      <w:r w:rsidRPr="004058E4">
        <w:rPr>
          <w:bCs/>
          <w:lang w:val="en-GB"/>
        </w:rPr>
        <w:t xml:space="preserve">The Panel notes that it appears from </w:t>
      </w:r>
      <w:r w:rsidR="00032135" w:rsidRPr="004058E4">
        <w:rPr>
          <w:bCs/>
          <w:lang w:val="en-GB"/>
        </w:rPr>
        <w:t xml:space="preserve">an UNMIK Police Intel Message of March 2000 that the investigators had </w:t>
      </w:r>
      <w:r w:rsidR="00A42CB2" w:rsidRPr="004058E4">
        <w:rPr>
          <w:bCs/>
          <w:lang w:val="en-GB"/>
        </w:rPr>
        <w:t xml:space="preserve">received </w:t>
      </w:r>
      <w:r w:rsidR="00032135" w:rsidRPr="004058E4">
        <w:rPr>
          <w:bCs/>
          <w:lang w:val="en-GB"/>
        </w:rPr>
        <w:t>additional information on the matter, including that the only known eye-witness in</w:t>
      </w:r>
      <w:r w:rsidR="00A42CB2" w:rsidRPr="004058E4">
        <w:rPr>
          <w:bCs/>
          <w:lang w:val="en-GB"/>
        </w:rPr>
        <w:t xml:space="preserve"> the case, Mr B.K., knew more than</w:t>
      </w:r>
      <w:r w:rsidR="00032135" w:rsidRPr="004058E4">
        <w:rPr>
          <w:bCs/>
          <w:lang w:val="en-GB"/>
        </w:rPr>
        <w:t xml:space="preserve"> what he had </w:t>
      </w:r>
      <w:r w:rsidR="0023268A" w:rsidRPr="004058E4">
        <w:rPr>
          <w:bCs/>
          <w:lang w:val="en-GB"/>
        </w:rPr>
        <w:t xml:space="preserve">previously </w:t>
      </w:r>
      <w:r w:rsidR="00032135" w:rsidRPr="004058E4">
        <w:rPr>
          <w:bCs/>
          <w:lang w:val="en-GB"/>
        </w:rPr>
        <w:t xml:space="preserve">stated to the </w:t>
      </w:r>
      <w:r w:rsidR="0023268A" w:rsidRPr="004058E4">
        <w:rPr>
          <w:bCs/>
          <w:lang w:val="en-GB"/>
        </w:rPr>
        <w:t>UNMIK Police</w:t>
      </w:r>
      <w:r w:rsidR="00032135" w:rsidRPr="004058E4">
        <w:rPr>
          <w:bCs/>
          <w:lang w:val="en-GB"/>
        </w:rPr>
        <w:t xml:space="preserve">. According to this Intel Message, Mr B.K. knew that </w:t>
      </w:r>
      <w:r w:rsidR="00032135" w:rsidRPr="004058E4">
        <w:rPr>
          <w:lang w:val="en-GB"/>
        </w:rPr>
        <w:t xml:space="preserve">Mrs Vera </w:t>
      </w:r>
      <w:proofErr w:type="spellStart"/>
      <w:r w:rsidR="00032135" w:rsidRPr="004058E4">
        <w:rPr>
          <w:lang w:val="en-GB"/>
        </w:rPr>
        <w:t>Škripac</w:t>
      </w:r>
      <w:proofErr w:type="spellEnd"/>
      <w:r w:rsidR="00032135" w:rsidRPr="004058E4">
        <w:rPr>
          <w:lang w:val="en-GB"/>
        </w:rPr>
        <w:t xml:space="preserve"> had been </w:t>
      </w:r>
      <w:r w:rsidR="0023268A" w:rsidRPr="004058E4">
        <w:rPr>
          <w:lang w:val="en-GB"/>
        </w:rPr>
        <w:t>abducted</w:t>
      </w:r>
      <w:r w:rsidR="00032135" w:rsidRPr="004058E4">
        <w:rPr>
          <w:lang w:val="en-GB"/>
        </w:rPr>
        <w:t xml:space="preserve"> (in contrast with his first account that she had remained in the flat, as</w:t>
      </w:r>
      <w:r w:rsidR="00E60ACB" w:rsidRPr="004058E4">
        <w:rPr>
          <w:lang w:val="en-GB"/>
        </w:rPr>
        <w:t xml:space="preserve"> stated in § 29), and </w:t>
      </w:r>
      <w:r w:rsidR="00704A8F" w:rsidRPr="004058E4">
        <w:rPr>
          <w:lang w:val="en-GB"/>
        </w:rPr>
        <w:t xml:space="preserve">been </w:t>
      </w:r>
      <w:r w:rsidR="00E60ACB" w:rsidRPr="004058E4">
        <w:rPr>
          <w:lang w:val="en-GB"/>
        </w:rPr>
        <w:t>taken away in another</w:t>
      </w:r>
      <w:r w:rsidR="00032135" w:rsidRPr="004058E4">
        <w:rPr>
          <w:lang w:val="en-GB"/>
        </w:rPr>
        <w:t xml:space="preserve"> vehicle, whose descr</w:t>
      </w:r>
      <w:r w:rsidR="0023268A" w:rsidRPr="004058E4">
        <w:rPr>
          <w:lang w:val="en-GB"/>
        </w:rPr>
        <w:t xml:space="preserve">iption (a red Opel car) </w:t>
      </w:r>
      <w:r w:rsidR="00032135" w:rsidRPr="004058E4">
        <w:rPr>
          <w:lang w:val="en-GB"/>
        </w:rPr>
        <w:t>was also known to the investigators. Nonetheless, there is no evidence that the</w:t>
      </w:r>
      <w:r w:rsidR="00A42CB2" w:rsidRPr="004058E4">
        <w:rPr>
          <w:lang w:val="en-GB"/>
        </w:rPr>
        <w:t xml:space="preserve"> investigators questioned </w:t>
      </w:r>
      <w:r w:rsidR="00032135" w:rsidRPr="004058E4">
        <w:rPr>
          <w:lang w:val="en-GB"/>
        </w:rPr>
        <w:t xml:space="preserve">Mr B.K. </w:t>
      </w:r>
      <w:r w:rsidR="00A42CB2" w:rsidRPr="004058E4">
        <w:rPr>
          <w:lang w:val="en-GB"/>
        </w:rPr>
        <w:t xml:space="preserve">again </w:t>
      </w:r>
      <w:r w:rsidR="00032135" w:rsidRPr="004058E4">
        <w:rPr>
          <w:lang w:val="en-GB"/>
        </w:rPr>
        <w:t xml:space="preserve">to clarify this discrepancy or made an effort to locate </w:t>
      </w:r>
      <w:r w:rsidR="0023268A" w:rsidRPr="004058E4">
        <w:rPr>
          <w:lang w:val="en-GB"/>
        </w:rPr>
        <w:t>the vehicle</w:t>
      </w:r>
      <w:r w:rsidR="00032135" w:rsidRPr="004058E4">
        <w:rPr>
          <w:lang w:val="en-GB"/>
        </w:rPr>
        <w:t xml:space="preserve"> in which Mrs Vera </w:t>
      </w:r>
      <w:proofErr w:type="spellStart"/>
      <w:r w:rsidR="00032135" w:rsidRPr="004058E4">
        <w:rPr>
          <w:lang w:val="en-GB"/>
        </w:rPr>
        <w:t>Škripac</w:t>
      </w:r>
      <w:proofErr w:type="spellEnd"/>
      <w:r w:rsidR="00032135" w:rsidRPr="004058E4">
        <w:rPr>
          <w:lang w:val="en-GB"/>
        </w:rPr>
        <w:t xml:space="preserve"> had allegedly been abducted. </w:t>
      </w:r>
    </w:p>
    <w:p w:rsidR="00F80F36" w:rsidRPr="004058E4" w:rsidRDefault="00F80F36" w:rsidP="00F80F36">
      <w:pPr>
        <w:pStyle w:val="ListParagraph"/>
        <w:rPr>
          <w:bCs/>
          <w:lang w:val="en-GB"/>
        </w:rPr>
      </w:pPr>
    </w:p>
    <w:p w:rsidR="00F80F36" w:rsidRPr="004058E4" w:rsidRDefault="00F80F36" w:rsidP="00276673">
      <w:pPr>
        <w:numPr>
          <w:ilvl w:val="0"/>
          <w:numId w:val="2"/>
        </w:numPr>
        <w:autoSpaceDE w:val="0"/>
        <w:contextualSpacing/>
        <w:jc w:val="both"/>
        <w:rPr>
          <w:bCs/>
          <w:lang w:val="en-GB"/>
        </w:rPr>
      </w:pPr>
      <w:r w:rsidRPr="004058E4">
        <w:rPr>
          <w:bCs/>
          <w:lang w:val="en-GB"/>
        </w:rPr>
        <w:t xml:space="preserve">The investigative file shows that further information came to the knowledge of the UNMIK MPU in April 2001, after they had spoken to </w:t>
      </w:r>
      <w:r w:rsidRPr="004058E4">
        <w:rPr>
          <w:lang w:val="en-GB"/>
        </w:rPr>
        <w:t xml:space="preserve">Mrs Vera </w:t>
      </w:r>
      <w:proofErr w:type="spellStart"/>
      <w:r w:rsidRPr="004058E4">
        <w:rPr>
          <w:lang w:val="en-GB"/>
        </w:rPr>
        <w:t>Škripac’s</w:t>
      </w:r>
      <w:proofErr w:type="spellEnd"/>
      <w:r w:rsidRPr="004058E4">
        <w:rPr>
          <w:lang w:val="en-GB"/>
        </w:rPr>
        <w:t xml:space="preserve"> sons (one of them being the complainant) in an effort to gather additional ante-mortem information (see § 35 above). It appears from the investigative documents that the complainant and his brother</w:t>
      </w:r>
      <w:r w:rsidR="00704A8F" w:rsidRPr="004058E4">
        <w:rPr>
          <w:lang w:val="en-GB"/>
        </w:rPr>
        <w:t xml:space="preserve"> had</w:t>
      </w:r>
      <w:r w:rsidRPr="004058E4">
        <w:rPr>
          <w:lang w:val="en-GB"/>
        </w:rPr>
        <w:t xml:space="preserve"> informed the police that </w:t>
      </w:r>
      <w:r w:rsidR="00A42CB2" w:rsidRPr="004058E4">
        <w:rPr>
          <w:lang w:val="en-GB"/>
        </w:rPr>
        <w:t>other neighbours had heard Mr B.K.</w:t>
      </w:r>
      <w:r w:rsidRPr="004058E4">
        <w:rPr>
          <w:lang w:val="en-GB"/>
        </w:rPr>
        <w:t xml:space="preserve"> calling the abductors by name and that he would not report them to the police fearing retaliation against his family. The Panel notes that, again, no witness statement was taken from the complainant and his brother</w:t>
      </w:r>
      <w:r w:rsidR="0023268A" w:rsidRPr="004058E4">
        <w:rPr>
          <w:lang w:val="en-GB"/>
        </w:rPr>
        <w:t>, nor from the above-mentioned neighbours</w:t>
      </w:r>
      <w:r w:rsidR="00A42CB2" w:rsidRPr="004058E4">
        <w:rPr>
          <w:lang w:val="en-GB"/>
        </w:rPr>
        <w:t>, nor did the police attempt to re-interview Mr B.K. whom they believed could identify the suspects</w:t>
      </w:r>
      <w:r w:rsidRPr="004058E4">
        <w:rPr>
          <w:lang w:val="en-GB"/>
        </w:rPr>
        <w:t xml:space="preserve">. The Panel also notes that, based on the investigative documents, at this stage, the UNMIK MPU was also informed about a suspect (a former KLA member who had threatened Mrs Vera </w:t>
      </w:r>
      <w:proofErr w:type="spellStart"/>
      <w:r w:rsidRPr="004058E4">
        <w:rPr>
          <w:lang w:val="en-GB"/>
        </w:rPr>
        <w:t>Škripac</w:t>
      </w:r>
      <w:proofErr w:type="spellEnd"/>
      <w:r w:rsidRPr="004058E4">
        <w:rPr>
          <w:lang w:val="en-GB"/>
        </w:rPr>
        <w:t xml:space="preserve"> and beaten her up in the past, as stated in §</w:t>
      </w:r>
      <w:r w:rsidR="00346D6B" w:rsidRPr="004058E4">
        <w:rPr>
          <w:lang w:val="en-GB"/>
        </w:rPr>
        <w:t xml:space="preserve"> 35 above</w:t>
      </w:r>
      <w:r w:rsidRPr="004058E4">
        <w:rPr>
          <w:lang w:val="en-GB"/>
        </w:rPr>
        <w:t>),</w:t>
      </w:r>
      <w:r w:rsidR="00346D6B" w:rsidRPr="004058E4">
        <w:rPr>
          <w:lang w:val="en-GB"/>
        </w:rPr>
        <w:t xml:space="preserve"> as well as additional potential witnesses, in particular a Kosovo Serb witness living in the nearby building (name and telephone no. provided to the investigators). </w:t>
      </w:r>
      <w:r w:rsidR="0023268A" w:rsidRPr="004058E4">
        <w:rPr>
          <w:lang w:val="en-GB"/>
        </w:rPr>
        <w:t xml:space="preserve">However, the file </w:t>
      </w:r>
      <w:r w:rsidR="00704A8F" w:rsidRPr="004058E4">
        <w:rPr>
          <w:lang w:val="en-GB"/>
        </w:rPr>
        <w:t xml:space="preserve">does not </w:t>
      </w:r>
      <w:r w:rsidR="0023268A" w:rsidRPr="004058E4">
        <w:rPr>
          <w:lang w:val="en-GB"/>
        </w:rPr>
        <w:t xml:space="preserve">indicate that </w:t>
      </w:r>
      <w:r w:rsidR="00704A8F" w:rsidRPr="004058E4">
        <w:rPr>
          <w:lang w:val="en-GB"/>
        </w:rPr>
        <w:t xml:space="preserve">any </w:t>
      </w:r>
      <w:r w:rsidR="0023268A" w:rsidRPr="004058E4">
        <w:rPr>
          <w:lang w:val="en-GB"/>
        </w:rPr>
        <w:t xml:space="preserve">further effort was made to follow-up on these important investigative leads. </w:t>
      </w:r>
    </w:p>
    <w:p w:rsidR="0023268A" w:rsidRPr="004058E4" w:rsidRDefault="0023268A" w:rsidP="0023268A">
      <w:pPr>
        <w:autoSpaceDE w:val="0"/>
        <w:ind w:left="360"/>
        <w:contextualSpacing/>
        <w:jc w:val="both"/>
        <w:rPr>
          <w:bCs/>
          <w:lang w:val="en-GB"/>
        </w:rPr>
      </w:pPr>
    </w:p>
    <w:p w:rsidR="0023268A" w:rsidRPr="004058E4" w:rsidRDefault="0023268A" w:rsidP="00276673">
      <w:pPr>
        <w:numPr>
          <w:ilvl w:val="0"/>
          <w:numId w:val="2"/>
        </w:numPr>
        <w:autoSpaceDE w:val="0"/>
        <w:contextualSpacing/>
        <w:jc w:val="both"/>
        <w:rPr>
          <w:bCs/>
          <w:lang w:val="en-GB"/>
        </w:rPr>
      </w:pPr>
      <w:r w:rsidRPr="004058E4">
        <w:rPr>
          <w:lang w:val="en-GB"/>
        </w:rPr>
        <w:t xml:space="preserve">The Panel acknowledges that twice, in September 1999 and again in July 2003, UNMIK took steps in order to verify whether the mortal remains of two unidentified women, which had been both discovered in the </w:t>
      </w:r>
      <w:proofErr w:type="spellStart"/>
      <w:r w:rsidRPr="004058E4">
        <w:rPr>
          <w:lang w:val="en-GB"/>
        </w:rPr>
        <w:t>Dragodan</w:t>
      </w:r>
      <w:proofErr w:type="spellEnd"/>
      <w:r w:rsidRPr="004058E4">
        <w:rPr>
          <w:lang w:val="en-GB"/>
        </w:rPr>
        <w:t xml:space="preserve"> cemetery of </w:t>
      </w:r>
      <w:proofErr w:type="spellStart"/>
      <w:r w:rsidRPr="004058E4">
        <w:rPr>
          <w:lang w:val="en-GB"/>
        </w:rPr>
        <w:t>Prishtinë</w:t>
      </w:r>
      <w:proofErr w:type="spellEnd"/>
      <w:r w:rsidRPr="004058E4">
        <w:rPr>
          <w:lang w:val="en-GB"/>
        </w:rPr>
        <w:t>/</w:t>
      </w:r>
      <w:proofErr w:type="spellStart"/>
      <w:r w:rsidRPr="004058E4">
        <w:rPr>
          <w:lang w:val="en-GB"/>
        </w:rPr>
        <w:t>Priština</w:t>
      </w:r>
      <w:proofErr w:type="spellEnd"/>
      <w:r w:rsidRPr="004058E4">
        <w:rPr>
          <w:lang w:val="en-GB"/>
        </w:rPr>
        <w:t xml:space="preserve">, were those of Mrs Vera </w:t>
      </w:r>
      <w:proofErr w:type="spellStart"/>
      <w:r w:rsidRPr="004058E4">
        <w:rPr>
          <w:lang w:val="en-GB"/>
        </w:rPr>
        <w:t>Škripac</w:t>
      </w:r>
      <w:proofErr w:type="spellEnd"/>
      <w:r w:rsidRPr="004058E4">
        <w:rPr>
          <w:lang w:val="en-GB"/>
        </w:rPr>
        <w:t>. In both cases the outcome of the identification was negative</w:t>
      </w:r>
      <w:r w:rsidR="00CC5EBB" w:rsidRPr="004058E4">
        <w:rPr>
          <w:lang w:val="en-GB"/>
        </w:rPr>
        <w:t xml:space="preserve"> (see §§</w:t>
      </w:r>
      <w:r w:rsidR="0048265C" w:rsidRPr="004058E4">
        <w:rPr>
          <w:lang w:val="en-GB"/>
        </w:rPr>
        <w:t xml:space="preserve"> 31 and 34</w:t>
      </w:r>
      <w:r w:rsidR="00CC5EBB" w:rsidRPr="004058E4">
        <w:rPr>
          <w:lang w:val="en-GB"/>
        </w:rPr>
        <w:t xml:space="preserve"> above)</w:t>
      </w:r>
      <w:r w:rsidRPr="004058E4">
        <w:rPr>
          <w:lang w:val="en-GB"/>
        </w:rPr>
        <w:t xml:space="preserve">. </w:t>
      </w:r>
    </w:p>
    <w:p w:rsidR="00CC5EBB" w:rsidRDefault="00CC5EBB" w:rsidP="00CC5EBB">
      <w:pPr>
        <w:pStyle w:val="ListParagraph"/>
        <w:rPr>
          <w:bCs/>
          <w:highlight w:val="yellow"/>
          <w:lang w:val="en-GB"/>
        </w:rPr>
      </w:pPr>
    </w:p>
    <w:p w:rsidR="00CC5EBB" w:rsidRPr="004058E4" w:rsidRDefault="00CC5EBB" w:rsidP="00AD05BC">
      <w:pPr>
        <w:pStyle w:val="ListParagraph"/>
        <w:numPr>
          <w:ilvl w:val="0"/>
          <w:numId w:val="2"/>
        </w:numPr>
        <w:tabs>
          <w:tab w:val="clear" w:pos="360"/>
          <w:tab w:val="num" w:pos="450"/>
        </w:tabs>
        <w:autoSpaceDE w:val="0"/>
        <w:ind w:left="450" w:hanging="450"/>
        <w:jc w:val="both"/>
        <w:rPr>
          <w:bCs/>
          <w:lang w:val="en-GB"/>
        </w:rPr>
      </w:pPr>
      <w:r w:rsidRPr="004058E4">
        <w:rPr>
          <w:bCs/>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4058E4" w:rsidRPr="004058E4">
        <w:rPr>
          <w:bCs/>
          <w:lang w:val="en-GB"/>
        </w:rPr>
        <w:t>47</w:t>
      </w:r>
      <w:r w:rsidRPr="004058E4">
        <w:rPr>
          <w:bCs/>
          <w:lang w:val="en-GB"/>
        </w:rPr>
        <w:t xml:space="preserve"> above), the assessment of the whole investigation is brought within the period of the Panel’s jurisdiction.</w:t>
      </w:r>
    </w:p>
    <w:p w:rsidR="00CC5EBB" w:rsidRPr="00AD05BC" w:rsidRDefault="00CC5EBB" w:rsidP="00AD05BC">
      <w:pPr>
        <w:jc w:val="both"/>
        <w:rPr>
          <w:highlight w:val="yellow"/>
          <w:lang w:val="en-GB" w:eastAsia="ar-SA"/>
        </w:rPr>
      </w:pPr>
    </w:p>
    <w:p w:rsidR="00AD05BC" w:rsidRPr="004058E4" w:rsidRDefault="00CC5EBB" w:rsidP="00D22205">
      <w:pPr>
        <w:pStyle w:val="ListParagraph"/>
        <w:numPr>
          <w:ilvl w:val="0"/>
          <w:numId w:val="2"/>
        </w:numPr>
        <w:tabs>
          <w:tab w:val="clear" w:pos="360"/>
          <w:tab w:val="num" w:pos="450"/>
        </w:tabs>
        <w:autoSpaceDE w:val="0"/>
        <w:ind w:left="450" w:hanging="450"/>
        <w:jc w:val="both"/>
        <w:rPr>
          <w:bCs/>
          <w:lang w:val="en-GB"/>
        </w:rPr>
      </w:pPr>
      <w:r w:rsidRPr="004058E4">
        <w:rPr>
          <w:bCs/>
          <w:lang w:val="en-GB"/>
        </w:rPr>
        <w:t xml:space="preserve">As those responsible for the crime had not been located, UNMIK was obligated to regularly review the progress of the investigation to ensure that nothing had been overlooked and any new evidence had been considered, as well as to inform </w:t>
      </w:r>
      <w:r w:rsidR="00A86097">
        <w:rPr>
          <w:bCs/>
          <w:lang w:val="en-GB"/>
        </w:rPr>
        <w:t>Mrs</w:t>
      </w:r>
      <w:r w:rsidR="00A86097" w:rsidRPr="00A86097">
        <w:rPr>
          <w:bCs/>
          <w:lang w:val="en-GB"/>
        </w:rPr>
        <w:t xml:space="preserve"> Vera </w:t>
      </w:r>
      <w:proofErr w:type="spellStart"/>
      <w:r w:rsidR="00A86097" w:rsidRPr="00A86097">
        <w:rPr>
          <w:bCs/>
          <w:lang w:val="en-GB"/>
        </w:rPr>
        <w:t>Śkripac</w:t>
      </w:r>
      <w:r w:rsidR="00A86097">
        <w:rPr>
          <w:bCs/>
          <w:lang w:val="en-GB"/>
        </w:rPr>
        <w:t>’s</w:t>
      </w:r>
      <w:proofErr w:type="spellEnd"/>
      <w:r w:rsidRPr="004058E4">
        <w:rPr>
          <w:bCs/>
          <w:lang w:val="en-GB"/>
        </w:rPr>
        <w:t xml:space="preserve"> relatives regarding any possible new leads of enquiry.</w:t>
      </w:r>
    </w:p>
    <w:p w:rsidR="00AD05BC" w:rsidRPr="004058E4" w:rsidRDefault="00AD05BC" w:rsidP="00AD05BC">
      <w:pPr>
        <w:pStyle w:val="ListParagraph"/>
        <w:rPr>
          <w:lang w:val="en-GB"/>
        </w:rPr>
      </w:pPr>
    </w:p>
    <w:p w:rsidR="005A3795" w:rsidRPr="005A3795" w:rsidRDefault="0023268A" w:rsidP="005A3795">
      <w:pPr>
        <w:pStyle w:val="ListParagraph"/>
        <w:numPr>
          <w:ilvl w:val="0"/>
          <w:numId w:val="2"/>
        </w:numPr>
        <w:tabs>
          <w:tab w:val="clear" w:pos="360"/>
          <w:tab w:val="num" w:pos="450"/>
        </w:tabs>
        <w:autoSpaceDE w:val="0"/>
        <w:ind w:left="450" w:hanging="450"/>
        <w:jc w:val="both"/>
        <w:rPr>
          <w:bCs/>
          <w:lang w:val="en-GB"/>
        </w:rPr>
      </w:pPr>
      <w:r w:rsidRPr="004058E4">
        <w:rPr>
          <w:lang w:val="en-GB"/>
        </w:rPr>
        <w:t xml:space="preserve">The Panel notes that no </w:t>
      </w:r>
      <w:r w:rsidR="00CC5EBB" w:rsidRPr="004058E4">
        <w:rPr>
          <w:lang w:val="en-GB"/>
        </w:rPr>
        <w:t xml:space="preserve">investigative action was taken in this period, apart from the registration of the case for Mrs Vera </w:t>
      </w:r>
      <w:proofErr w:type="spellStart"/>
      <w:r w:rsidR="00CC5EBB" w:rsidRPr="004058E4">
        <w:rPr>
          <w:lang w:val="en-GB"/>
        </w:rPr>
        <w:t>Škripac</w:t>
      </w:r>
      <w:proofErr w:type="spellEnd"/>
      <w:r w:rsidR="00CC5EBB" w:rsidRPr="004058E4">
        <w:rPr>
          <w:lang w:val="en-GB"/>
        </w:rPr>
        <w:t xml:space="preserve"> by the UNMIK Police WCIU, in August 2005, after</w:t>
      </w:r>
      <w:r w:rsidRPr="004058E4">
        <w:rPr>
          <w:lang w:val="en-GB"/>
        </w:rPr>
        <w:t xml:space="preserve"> the </w:t>
      </w:r>
      <w:r w:rsidR="00CC5EBB" w:rsidRPr="004058E4">
        <w:rPr>
          <w:lang w:val="en-GB"/>
        </w:rPr>
        <w:t xml:space="preserve">complainant had filed a criminal complaint with the DPPO in </w:t>
      </w:r>
      <w:proofErr w:type="spellStart"/>
      <w:r w:rsidR="00CC5EBB" w:rsidRPr="004058E4">
        <w:rPr>
          <w:lang w:val="en-GB"/>
        </w:rPr>
        <w:t>Prishtinë</w:t>
      </w:r>
      <w:proofErr w:type="spellEnd"/>
      <w:r w:rsidR="00CC5EBB" w:rsidRPr="004058E4">
        <w:rPr>
          <w:lang w:val="en-GB"/>
        </w:rPr>
        <w:t>/</w:t>
      </w:r>
      <w:proofErr w:type="spellStart"/>
      <w:r w:rsidR="00CC5EBB" w:rsidRPr="004058E4">
        <w:rPr>
          <w:lang w:val="en-GB"/>
        </w:rPr>
        <w:t>Priština</w:t>
      </w:r>
      <w:proofErr w:type="spellEnd"/>
      <w:r w:rsidR="00CC5EBB" w:rsidRPr="004058E4">
        <w:rPr>
          <w:lang w:val="en-GB"/>
        </w:rPr>
        <w:t>.  The file shows that the</w:t>
      </w:r>
      <w:r w:rsidR="00654FFB" w:rsidRPr="004058E4">
        <w:rPr>
          <w:lang w:val="en-GB"/>
        </w:rPr>
        <w:t xml:space="preserve"> WCIU </w:t>
      </w:r>
      <w:r w:rsidR="00CC5EBB" w:rsidRPr="004058E4">
        <w:rPr>
          <w:lang w:val="en-GB"/>
        </w:rPr>
        <w:t xml:space="preserve">reviewed </w:t>
      </w:r>
      <w:r w:rsidR="00654FFB" w:rsidRPr="004058E4">
        <w:rPr>
          <w:lang w:val="en-GB"/>
        </w:rPr>
        <w:t xml:space="preserve">the case </w:t>
      </w:r>
      <w:r w:rsidR="00CC5EBB" w:rsidRPr="004058E4">
        <w:rPr>
          <w:lang w:val="en-GB"/>
        </w:rPr>
        <w:t>in</w:t>
      </w:r>
      <w:r w:rsidR="00654FFB" w:rsidRPr="004058E4">
        <w:rPr>
          <w:lang w:val="en-GB"/>
        </w:rPr>
        <w:t xml:space="preserve"> October 2007 and that the recommendation of the reviewing investigators was that the case could not be closed until </w:t>
      </w:r>
      <w:r w:rsidR="00D411A2" w:rsidRPr="004058E4">
        <w:rPr>
          <w:lang w:val="en-GB"/>
        </w:rPr>
        <w:t xml:space="preserve">“at least” </w:t>
      </w:r>
      <w:r w:rsidR="00654FFB" w:rsidRPr="004058E4">
        <w:rPr>
          <w:lang w:val="en-GB"/>
        </w:rPr>
        <w:t xml:space="preserve">an unspecified witness statement </w:t>
      </w:r>
      <w:r w:rsidR="00D411A2" w:rsidRPr="004058E4">
        <w:rPr>
          <w:lang w:val="en-GB"/>
        </w:rPr>
        <w:t>was taken (see</w:t>
      </w:r>
      <w:r w:rsidR="00654FFB" w:rsidRPr="004058E4">
        <w:rPr>
          <w:lang w:val="en-GB"/>
        </w:rPr>
        <w:t xml:space="preserve"> in § </w:t>
      </w:r>
      <w:r w:rsidR="00D411A2" w:rsidRPr="004058E4">
        <w:rPr>
          <w:lang w:val="en-GB"/>
        </w:rPr>
        <w:t>39</w:t>
      </w:r>
      <w:r w:rsidR="00654FFB" w:rsidRPr="004058E4">
        <w:rPr>
          <w:lang w:val="en-GB"/>
        </w:rPr>
        <w:t xml:space="preserve"> above</w:t>
      </w:r>
      <w:r w:rsidR="00D411A2" w:rsidRPr="004058E4">
        <w:rPr>
          <w:lang w:val="en-GB"/>
        </w:rPr>
        <w:t>)</w:t>
      </w:r>
      <w:r w:rsidR="00654FFB" w:rsidRPr="004058E4">
        <w:rPr>
          <w:lang w:val="en-GB"/>
        </w:rPr>
        <w:t>. However, according to a further review</w:t>
      </w:r>
      <w:r w:rsidR="00D411A2" w:rsidRPr="004058E4">
        <w:rPr>
          <w:lang w:val="en-GB"/>
        </w:rPr>
        <w:t xml:space="preserve"> by the same WCIU</w:t>
      </w:r>
      <w:r w:rsidR="00654FFB" w:rsidRPr="004058E4">
        <w:rPr>
          <w:lang w:val="en-GB"/>
        </w:rPr>
        <w:t>, which</w:t>
      </w:r>
      <w:r w:rsidR="00D411A2" w:rsidRPr="004058E4">
        <w:rPr>
          <w:lang w:val="en-GB"/>
        </w:rPr>
        <w:t xml:space="preserve"> took place only a few</w:t>
      </w:r>
      <w:r w:rsidR="00654FFB" w:rsidRPr="004058E4">
        <w:rPr>
          <w:lang w:val="en-GB"/>
        </w:rPr>
        <w:t xml:space="preserve"> </w:t>
      </w:r>
      <w:r w:rsidR="00D411A2" w:rsidRPr="004058E4">
        <w:rPr>
          <w:lang w:val="en-GB"/>
        </w:rPr>
        <w:t xml:space="preserve">weeks </w:t>
      </w:r>
      <w:r w:rsidR="00704A8F" w:rsidRPr="004058E4">
        <w:rPr>
          <w:lang w:val="en-GB"/>
        </w:rPr>
        <w:t>later</w:t>
      </w:r>
      <w:r w:rsidR="00654FFB" w:rsidRPr="004058E4">
        <w:rPr>
          <w:lang w:val="en-GB"/>
        </w:rPr>
        <w:t xml:space="preserve">, in November 2007, the case should </w:t>
      </w:r>
      <w:r w:rsidR="00D411A2" w:rsidRPr="004058E4">
        <w:rPr>
          <w:lang w:val="en-GB"/>
        </w:rPr>
        <w:t xml:space="preserve">be considered “inactive”. The Panel notes that there is no information in the file to explain </w:t>
      </w:r>
      <w:r w:rsidR="00704A8F" w:rsidRPr="004058E4">
        <w:rPr>
          <w:lang w:val="en-GB"/>
        </w:rPr>
        <w:t>the</w:t>
      </w:r>
      <w:r w:rsidR="00D411A2" w:rsidRPr="004058E4">
        <w:rPr>
          <w:lang w:val="en-GB"/>
        </w:rPr>
        <w:t xml:space="preserve"> grounds </w:t>
      </w:r>
      <w:r w:rsidR="00704A8F" w:rsidRPr="004058E4">
        <w:rPr>
          <w:lang w:val="en-GB"/>
        </w:rPr>
        <w:t xml:space="preserve">for </w:t>
      </w:r>
      <w:r w:rsidR="00D411A2" w:rsidRPr="004058E4">
        <w:rPr>
          <w:lang w:val="en-GB"/>
        </w:rPr>
        <w:t>such a change of assessment. The Panel also notes that no explanation has been offe</w:t>
      </w:r>
      <w:r w:rsidR="004058E4" w:rsidRPr="004058E4">
        <w:rPr>
          <w:lang w:val="en-GB"/>
        </w:rPr>
        <w:t>red by the SRSG in this respect.</w:t>
      </w:r>
    </w:p>
    <w:p w:rsidR="005A3795" w:rsidRPr="005A3795" w:rsidRDefault="005A3795" w:rsidP="005A3795">
      <w:pPr>
        <w:pStyle w:val="ListParagraph"/>
        <w:rPr>
          <w:highlight w:val="yellow"/>
          <w:lang w:val="en-GB"/>
        </w:rPr>
      </w:pPr>
    </w:p>
    <w:p w:rsidR="005A3795" w:rsidRPr="00A96EEF" w:rsidRDefault="00D411A2" w:rsidP="005A3795">
      <w:pPr>
        <w:pStyle w:val="ListParagraph"/>
        <w:numPr>
          <w:ilvl w:val="0"/>
          <w:numId w:val="2"/>
        </w:numPr>
        <w:tabs>
          <w:tab w:val="clear" w:pos="360"/>
          <w:tab w:val="num" w:pos="450"/>
        </w:tabs>
        <w:autoSpaceDE w:val="0"/>
        <w:ind w:left="450" w:hanging="450"/>
        <w:jc w:val="both"/>
        <w:rPr>
          <w:bCs/>
          <w:lang w:val="en-GB"/>
        </w:rPr>
      </w:pPr>
      <w:r w:rsidRPr="00A96EEF">
        <w:rPr>
          <w:lang w:val="en-GB"/>
        </w:rPr>
        <w:t>In light of the investigative gaps and the omissions highlighted above, the Panel cannot accept the SRSG</w:t>
      </w:r>
      <w:bookmarkEnd w:id="60"/>
      <w:r w:rsidR="001A2104" w:rsidRPr="00A96EEF">
        <w:rPr>
          <w:lang w:val="en-GB"/>
        </w:rPr>
        <w:t>’s argument that there were no leads that the investigators could “concretely follow-up”, including no witnesses and no “reliable information” concerning the suspects, as stated in §§ 62 and 63 above.</w:t>
      </w:r>
      <w:r w:rsidR="00D5706F" w:rsidRPr="00A96EEF">
        <w:rPr>
          <w:lang w:val="en-GB"/>
        </w:rPr>
        <w:t xml:space="preserve"> </w:t>
      </w:r>
      <w:r w:rsidR="001A2104" w:rsidRPr="00A96EEF">
        <w:rPr>
          <w:lang w:val="en-GB"/>
        </w:rPr>
        <w:t xml:space="preserve"> </w:t>
      </w:r>
      <w:r w:rsidR="005A3795" w:rsidRPr="00A96EEF">
        <w:rPr>
          <w:lang w:val="en-GB"/>
        </w:rPr>
        <w:t>The Panel notes that, unlike in many other similar cases before the Panel, in this one UNMIK Police actively searched for information and leads in the early stage of the investigation, which led to discover relevant information concerning the case (most importantly about an eye-witness and potential additional witnesses). However, these leads were not adequately followed-upon by the investigators and, as a result, the investigation did not produce any concrete results. The Panel considers that the lack of appropriate follow-up may have led to the loss of potential evidence.</w:t>
      </w:r>
    </w:p>
    <w:p w:rsidR="00344082" w:rsidRPr="005A3795" w:rsidRDefault="00344082" w:rsidP="005A3795">
      <w:pPr>
        <w:autoSpaceDE w:val="0"/>
        <w:jc w:val="both"/>
        <w:rPr>
          <w:bCs/>
          <w:lang w:val="en-GB"/>
        </w:rPr>
      </w:pPr>
      <w:r w:rsidRPr="00A96EEF">
        <w:rPr>
          <w:lang w:val="en-GB"/>
        </w:rPr>
        <w:t xml:space="preserve"> </w:t>
      </w:r>
    </w:p>
    <w:p w:rsidR="001A2104" w:rsidRDefault="00B30E62" w:rsidP="001A2104">
      <w:pPr>
        <w:pStyle w:val="ListParagraph"/>
        <w:numPr>
          <w:ilvl w:val="0"/>
          <w:numId w:val="2"/>
        </w:numPr>
        <w:tabs>
          <w:tab w:val="clear" w:pos="360"/>
          <w:tab w:val="num" w:pos="450"/>
        </w:tabs>
        <w:autoSpaceDE w:val="0"/>
        <w:ind w:left="450" w:hanging="450"/>
        <w:jc w:val="both"/>
        <w:rPr>
          <w:bCs/>
          <w:lang w:val="en-GB"/>
        </w:rPr>
      </w:pPr>
      <w:r w:rsidRPr="00B30E62">
        <w:rPr>
          <w:bCs/>
          <w:lang w:val="en-GB"/>
        </w:rPr>
        <w:t>The Panel also reiterates in this regard its position expressed in many other cases in relation to the adequacy of the investigations into the abductions, disappearances, killings and suspicious deaths and to the categorisation of cases into “active” and “inactive”. In those cases the Panel has underlined that any “categorisation of an investigation should take place only after the minimum possible investigative actions have been undertaken and obtainable information has been collected and analysed” (see e.g. HRAP, B.A., no. 52/09, opinion of 14 February 2013, § 82).</w:t>
      </w:r>
    </w:p>
    <w:p w:rsidR="001A2104" w:rsidRPr="001A2104" w:rsidRDefault="001A2104" w:rsidP="001A2104">
      <w:pPr>
        <w:pStyle w:val="ListParagraph"/>
        <w:rPr>
          <w:bCs/>
          <w:lang w:val="en-GB"/>
        </w:rPr>
      </w:pPr>
    </w:p>
    <w:p w:rsidR="001379F7" w:rsidRPr="001A2104" w:rsidRDefault="001379F7" w:rsidP="001A2104">
      <w:pPr>
        <w:pStyle w:val="ListParagraph"/>
        <w:numPr>
          <w:ilvl w:val="0"/>
          <w:numId w:val="2"/>
        </w:numPr>
        <w:tabs>
          <w:tab w:val="clear" w:pos="360"/>
          <w:tab w:val="num" w:pos="450"/>
        </w:tabs>
        <w:autoSpaceDE w:val="0"/>
        <w:ind w:left="450" w:hanging="450"/>
        <w:jc w:val="both"/>
        <w:rPr>
          <w:bCs/>
          <w:lang w:val="en-GB"/>
        </w:rPr>
      </w:pPr>
      <w:r w:rsidRPr="001A2104">
        <w:rPr>
          <w:bCs/>
          <w:lang w:val="en-GB"/>
        </w:rPr>
        <w:t xml:space="preserve">Similarly, as the Panel has previously observed, UNMIK Police and DOJ had implemented a policy conserving its limited investigative resources and concentrating only on the investigations “with a strong likelihood of suspect identification” (see HRAP, </w:t>
      </w:r>
      <w:proofErr w:type="spellStart"/>
      <w:r w:rsidRPr="00A02C9B">
        <w:rPr>
          <w:bCs/>
          <w:i/>
          <w:lang w:val="en-GB"/>
        </w:rPr>
        <w:t>Bulatović</w:t>
      </w:r>
      <w:proofErr w:type="spellEnd"/>
      <w:r w:rsidRPr="001A2104">
        <w:rPr>
          <w:bCs/>
          <w:lang w:val="en-GB"/>
        </w:rPr>
        <w:t xml:space="preserve">, no. 275/09, opinion of 22 April 2015, § 149). As the Panel also noted, this approach was in contrast to the description of the situation on the ground presented by the UN Secretary-General to the UN Security Council at around the same time and indicated a serious systemic failure (see </w:t>
      </w:r>
      <w:r w:rsidRPr="005A3795">
        <w:rPr>
          <w:bCs/>
          <w:i/>
          <w:lang w:val="en-GB"/>
        </w:rPr>
        <w:t>ibid.).</w:t>
      </w:r>
      <w:r w:rsidRPr="001A2104">
        <w:rPr>
          <w:bCs/>
          <w:lang w:val="en-GB"/>
        </w:rPr>
        <w:t xml:space="preserve"> In the Panel’s view, the effect of this policy may have had a serious impact on this particular investigation and, possibly, on many others of a similar nature.</w:t>
      </w:r>
    </w:p>
    <w:p w:rsidR="00D03F27" w:rsidRPr="00B62920" w:rsidRDefault="00D03F27" w:rsidP="00D03F27">
      <w:pPr>
        <w:tabs>
          <w:tab w:val="left" w:pos="709"/>
        </w:tabs>
        <w:autoSpaceDE w:val="0"/>
        <w:jc w:val="both"/>
        <w:rPr>
          <w:color w:val="000000" w:themeColor="text1"/>
          <w:lang w:val="en-GB"/>
        </w:rPr>
      </w:pPr>
    </w:p>
    <w:p w:rsidR="00E92DED" w:rsidRPr="005A3795" w:rsidRDefault="00E92DED" w:rsidP="00E92DED">
      <w:pPr>
        <w:pStyle w:val="ListParagraph"/>
        <w:numPr>
          <w:ilvl w:val="0"/>
          <w:numId w:val="2"/>
        </w:numPr>
        <w:tabs>
          <w:tab w:val="clear" w:pos="360"/>
          <w:tab w:val="num" w:pos="450"/>
        </w:tabs>
        <w:autoSpaceDE w:val="0"/>
        <w:ind w:left="450" w:hanging="450"/>
        <w:jc w:val="both"/>
        <w:rPr>
          <w:lang w:val="en-GB"/>
        </w:rPr>
      </w:pPr>
      <w:r w:rsidRPr="00B62920">
        <w:rPr>
          <w:lang w:val="en-GB"/>
        </w:rPr>
        <w:t xml:space="preserve">The apparent lack of any </w:t>
      </w:r>
      <w:r w:rsidRPr="00B62920">
        <w:rPr>
          <w:bCs/>
        </w:rPr>
        <w:t xml:space="preserve">adequate </w:t>
      </w:r>
      <w:r w:rsidRPr="00B62920">
        <w:rPr>
          <w:lang w:val="en-GB"/>
        </w:rPr>
        <w:t xml:space="preserve">reaction from UNMIK Police, and of any action at later stages, may have suggested to the perpetrators that the authorities were either not able, or not willing to investigate such criminal acts. Such an attitude of the authorities towards the </w:t>
      </w:r>
      <w:r w:rsidRPr="005A3795">
        <w:rPr>
          <w:lang w:val="en-GB"/>
        </w:rPr>
        <w:t>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rsidR="00E92DED" w:rsidRPr="005A3795" w:rsidRDefault="00E92DED" w:rsidP="00874A40">
      <w:pPr>
        <w:rPr>
          <w:lang w:val="en-GB"/>
        </w:rPr>
      </w:pPr>
    </w:p>
    <w:p w:rsidR="00E92DED" w:rsidRPr="005A3795" w:rsidRDefault="00E92DED" w:rsidP="00E92DED">
      <w:pPr>
        <w:numPr>
          <w:ilvl w:val="0"/>
          <w:numId w:val="2"/>
        </w:numPr>
        <w:tabs>
          <w:tab w:val="left" w:pos="709"/>
        </w:tabs>
        <w:suppressAutoHyphens/>
        <w:autoSpaceDE w:val="0"/>
        <w:ind w:left="450" w:hanging="450"/>
        <w:jc w:val="both"/>
        <w:rPr>
          <w:lang w:val="en-GB"/>
        </w:rPr>
      </w:pPr>
      <w:r w:rsidRPr="005A3795">
        <w:rPr>
          <w:color w:val="000000" w:themeColor="text1"/>
          <w:lang w:val="en-GB"/>
        </w:rPr>
        <w:t xml:space="preserve"> Likewise, the file indicates no involvement of a public prosecutor in this investigation during the period under UNMIK’s administration.</w:t>
      </w:r>
      <w:r w:rsidR="00D55BA3" w:rsidRPr="005A3795">
        <w:rPr>
          <w:color w:val="000000" w:themeColor="text1"/>
          <w:lang w:val="en-GB"/>
        </w:rPr>
        <w:t xml:space="preserve"> </w:t>
      </w:r>
      <w:r w:rsidR="001379F7" w:rsidRPr="005A3795">
        <w:rPr>
          <w:color w:val="000000" w:themeColor="text1"/>
          <w:lang w:val="en-GB"/>
        </w:rPr>
        <w:t>A</w:t>
      </w:r>
      <w:r w:rsidR="00D55BA3" w:rsidRPr="005A3795">
        <w:rPr>
          <w:color w:val="000000" w:themeColor="text1"/>
          <w:lang w:val="en-GB"/>
        </w:rPr>
        <w:t xml:space="preserve"> </w:t>
      </w:r>
      <w:r w:rsidR="00B90839" w:rsidRPr="005A3795">
        <w:rPr>
          <w:color w:val="000000" w:themeColor="text1"/>
          <w:lang w:val="en-GB"/>
        </w:rPr>
        <w:t>copy of</w:t>
      </w:r>
      <w:r w:rsidR="006341FF" w:rsidRPr="005A3795">
        <w:rPr>
          <w:color w:val="000000" w:themeColor="text1"/>
          <w:lang w:val="en-GB"/>
        </w:rPr>
        <w:t xml:space="preserve"> the</w:t>
      </w:r>
      <w:r w:rsidR="00B90839" w:rsidRPr="005A3795">
        <w:rPr>
          <w:color w:val="000000" w:themeColor="text1"/>
          <w:lang w:val="en-GB"/>
        </w:rPr>
        <w:t xml:space="preserve"> criminal complaint </w:t>
      </w:r>
      <w:r w:rsidR="00D55BA3" w:rsidRPr="005A3795">
        <w:rPr>
          <w:color w:val="000000" w:themeColor="text1"/>
          <w:lang w:val="en-GB"/>
        </w:rPr>
        <w:t>from the complainant to the</w:t>
      </w:r>
      <w:r w:rsidR="001379F7" w:rsidRPr="005A3795">
        <w:rPr>
          <w:color w:val="000000" w:themeColor="text1"/>
          <w:lang w:val="en-GB"/>
        </w:rPr>
        <w:t xml:space="preserve"> </w:t>
      </w:r>
      <w:proofErr w:type="spellStart"/>
      <w:r w:rsidR="006341FF" w:rsidRPr="005A3795">
        <w:rPr>
          <w:color w:val="000000" w:themeColor="text1"/>
          <w:lang w:val="en-GB"/>
        </w:rPr>
        <w:t>Prishtinë</w:t>
      </w:r>
      <w:proofErr w:type="spellEnd"/>
      <w:r w:rsidR="006341FF" w:rsidRPr="005A3795">
        <w:rPr>
          <w:color w:val="000000" w:themeColor="text1"/>
          <w:lang w:val="en-GB"/>
        </w:rPr>
        <w:t>/</w:t>
      </w:r>
      <w:proofErr w:type="spellStart"/>
      <w:r w:rsidR="006341FF" w:rsidRPr="005A3795">
        <w:rPr>
          <w:color w:val="000000" w:themeColor="text1"/>
          <w:lang w:val="en-GB"/>
        </w:rPr>
        <w:t>Priština</w:t>
      </w:r>
      <w:proofErr w:type="spellEnd"/>
      <w:r w:rsidR="006341FF" w:rsidRPr="005A3795">
        <w:rPr>
          <w:color w:val="000000" w:themeColor="text1"/>
          <w:lang w:val="en-GB"/>
        </w:rPr>
        <w:t xml:space="preserve"> DPPO included in the file shows the complainant’s frustration over the progress of t</w:t>
      </w:r>
      <w:r w:rsidR="0023268A" w:rsidRPr="005A3795">
        <w:rPr>
          <w:color w:val="000000" w:themeColor="text1"/>
          <w:lang w:val="en-GB"/>
        </w:rPr>
        <w:t>he investigation when he states</w:t>
      </w:r>
      <w:r w:rsidR="00D55BA3" w:rsidRPr="005A3795">
        <w:rPr>
          <w:color w:val="000000" w:themeColor="text1"/>
          <w:lang w:val="en-GB"/>
        </w:rPr>
        <w:t xml:space="preserve"> </w:t>
      </w:r>
      <w:r w:rsidR="006341FF" w:rsidRPr="005A3795">
        <w:rPr>
          <w:color w:val="000000" w:themeColor="text1"/>
          <w:lang w:val="en-GB"/>
        </w:rPr>
        <w:t>that</w:t>
      </w:r>
      <w:r w:rsidR="00B90839" w:rsidRPr="005A3795">
        <w:rPr>
          <w:color w:val="000000" w:themeColor="text1"/>
          <w:lang w:val="en-GB"/>
        </w:rPr>
        <w:t xml:space="preserve"> it</w:t>
      </w:r>
      <w:r w:rsidR="00A54870" w:rsidRPr="005A3795">
        <w:rPr>
          <w:color w:val="000000" w:themeColor="text1"/>
          <w:lang w:val="en-GB"/>
        </w:rPr>
        <w:t xml:space="preserve"> had been “impossible”</w:t>
      </w:r>
      <w:r w:rsidR="00B90839" w:rsidRPr="005A3795">
        <w:rPr>
          <w:color w:val="000000" w:themeColor="text1"/>
          <w:lang w:val="en-GB"/>
        </w:rPr>
        <w:t xml:space="preserve"> </w:t>
      </w:r>
      <w:r w:rsidR="00A54870" w:rsidRPr="005A3795">
        <w:rPr>
          <w:color w:val="000000" w:themeColor="text1"/>
          <w:lang w:val="en-GB"/>
        </w:rPr>
        <w:t xml:space="preserve">for him to receive information about the steps taken to investigate his mother’s abduction and disappearance </w:t>
      </w:r>
      <w:r w:rsidR="00B90839" w:rsidRPr="005A3795">
        <w:rPr>
          <w:color w:val="000000" w:themeColor="text1"/>
          <w:lang w:val="en-GB"/>
        </w:rPr>
        <w:t xml:space="preserve">(see § </w:t>
      </w:r>
      <w:r w:rsidR="00A54870" w:rsidRPr="005A3795">
        <w:rPr>
          <w:color w:val="000000" w:themeColor="text1"/>
          <w:lang w:val="en-GB"/>
        </w:rPr>
        <w:t>37</w:t>
      </w:r>
      <w:r w:rsidR="00B90839" w:rsidRPr="005A3795">
        <w:rPr>
          <w:color w:val="000000" w:themeColor="text1"/>
          <w:lang w:val="en-GB"/>
        </w:rPr>
        <w:t xml:space="preserve"> above). </w:t>
      </w:r>
      <w:r w:rsidRPr="005A3795">
        <w:rPr>
          <w:color w:val="000000" w:themeColor="text1"/>
          <w:lang w:val="en-GB"/>
        </w:rPr>
        <w:t xml:space="preserve">As the Panel has mentioned previously, a proper prosecutorial review of the investigative file might have resulted in additional recommendations, so that the case would not have remained inactive for years to come (see HRAP, </w:t>
      </w:r>
      <w:r w:rsidRPr="005A3795">
        <w:rPr>
          <w:i/>
          <w:color w:val="000000" w:themeColor="text1"/>
          <w:lang w:val="en-GB"/>
        </w:rPr>
        <w:t>Stojković</w:t>
      </w:r>
      <w:r w:rsidRPr="005A3795">
        <w:rPr>
          <w:color w:val="000000" w:themeColor="text1"/>
          <w:lang w:val="en-GB"/>
        </w:rPr>
        <w:t>, no. 87/09, opinion of 14 December 2013, § 160). Thus, in the Panel’s view, the review of the investigative files was far from being adequate.</w:t>
      </w:r>
    </w:p>
    <w:p w:rsidR="00E92DED" w:rsidRPr="005A3795" w:rsidRDefault="00E92DED" w:rsidP="00E92DED">
      <w:pPr>
        <w:tabs>
          <w:tab w:val="left" w:pos="709"/>
        </w:tabs>
        <w:suppressAutoHyphens/>
        <w:autoSpaceDE w:val="0"/>
        <w:jc w:val="both"/>
        <w:rPr>
          <w:lang w:val="en-GB"/>
        </w:rPr>
      </w:pPr>
    </w:p>
    <w:p w:rsidR="00E44ABC" w:rsidRPr="005A3795" w:rsidRDefault="00E92DED" w:rsidP="004E4605">
      <w:pPr>
        <w:pStyle w:val="ListParagraph"/>
        <w:numPr>
          <w:ilvl w:val="0"/>
          <w:numId w:val="2"/>
        </w:numPr>
        <w:tabs>
          <w:tab w:val="clear" w:pos="360"/>
          <w:tab w:val="num" w:pos="450"/>
        </w:tabs>
        <w:autoSpaceDE w:val="0"/>
        <w:ind w:left="450" w:hanging="450"/>
        <w:jc w:val="both"/>
        <w:rPr>
          <w:lang w:val="en-GB"/>
        </w:rPr>
      </w:pPr>
      <w:r w:rsidRPr="005A3795">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5A3795">
        <w:fldChar w:fldCharType="begin"/>
      </w:r>
      <w:r w:rsidRPr="005A3795">
        <w:rPr>
          <w:lang w:val="en-GB"/>
        </w:rPr>
        <w:instrText xml:space="preserve"> REF _Ref404684740 \r \h </w:instrText>
      </w:r>
      <w:r w:rsidRPr="005A3795">
        <w:instrText xml:space="preserve"> \* MERGEFORMAT </w:instrText>
      </w:r>
      <w:r w:rsidRPr="005A3795">
        <w:fldChar w:fldCharType="separate"/>
      </w:r>
      <w:r w:rsidR="00C60385">
        <w:rPr>
          <w:lang w:val="en-GB"/>
        </w:rPr>
        <w:t>78</w:t>
      </w:r>
      <w:r w:rsidRPr="005A3795">
        <w:fldChar w:fldCharType="end"/>
      </w:r>
      <w:r w:rsidRPr="005A3795">
        <w:rPr>
          <w:lang w:val="en-GB"/>
        </w:rPr>
        <w:t xml:space="preserve"> above), as required by Article 2 of the ECHR.</w:t>
      </w:r>
    </w:p>
    <w:p w:rsidR="00E92DED" w:rsidRPr="005A3795" w:rsidRDefault="00E92DED" w:rsidP="00E92DED">
      <w:pPr>
        <w:tabs>
          <w:tab w:val="left" w:pos="709"/>
        </w:tabs>
        <w:suppressAutoHyphens/>
        <w:autoSpaceDE w:val="0"/>
        <w:ind w:left="450"/>
        <w:jc w:val="both"/>
        <w:rPr>
          <w:lang w:val="en-GB"/>
        </w:rPr>
      </w:pPr>
    </w:p>
    <w:p w:rsidR="00E92DED" w:rsidRPr="005A3795" w:rsidRDefault="00E92DED" w:rsidP="00874A40">
      <w:pPr>
        <w:numPr>
          <w:ilvl w:val="0"/>
          <w:numId w:val="2"/>
        </w:numPr>
        <w:tabs>
          <w:tab w:val="clear" w:pos="360"/>
          <w:tab w:val="left" w:pos="709"/>
        </w:tabs>
        <w:suppressAutoHyphens/>
        <w:autoSpaceDE w:val="0"/>
        <w:ind w:left="450" w:hanging="450"/>
        <w:jc w:val="both"/>
      </w:pPr>
      <w:r w:rsidRPr="005A3795">
        <w:t xml:space="preserve">As </w:t>
      </w:r>
      <w:r w:rsidRPr="005A3795">
        <w:rPr>
          <w:lang w:val="en-GB"/>
        </w:rPr>
        <w:t>concerns</w:t>
      </w:r>
      <w:r w:rsidRPr="005A3795">
        <w:rPr>
          <w:lang w:val="en-GB" w:eastAsia="en-GB"/>
        </w:rPr>
        <w:t xml:space="preserve"> the requirement of </w:t>
      </w:r>
      <w:r w:rsidRPr="005A3795">
        <w:t>public</w:t>
      </w:r>
      <w:r w:rsidRPr="005A3795">
        <w:rPr>
          <w:lang w:val="en-GB" w:eastAsia="en-GB"/>
        </w:rPr>
        <w:t xml:space="preserve"> scrutiny, the Panel recalls that Article 2 also requires </w:t>
      </w:r>
      <w:r w:rsidRPr="005A3795">
        <w:rPr>
          <w:lang w:val="en-GB"/>
        </w:rPr>
        <w:t>the</w:t>
      </w:r>
      <w:r w:rsidRPr="005A3795">
        <w:rPr>
          <w:lang w:val="en-GB" w:eastAsia="en-GB"/>
        </w:rPr>
        <w:t xml:space="preserve"> victims’ next-of-kin to be involved in the investigation to the extent necessary to safeguard his or her legitimate interests.</w:t>
      </w:r>
      <w:bookmarkStart w:id="62" w:name="_Ref409183639"/>
      <w:r w:rsidR="00874A40" w:rsidRPr="005A3795">
        <w:t xml:space="preserve"> </w:t>
      </w:r>
      <w:r w:rsidRPr="005A3795">
        <w:t xml:space="preserve">The investigative file shows </w:t>
      </w:r>
      <w:r w:rsidR="00445981" w:rsidRPr="005A3795">
        <w:t>that</w:t>
      </w:r>
      <w:r w:rsidR="00A54870" w:rsidRPr="005A3795">
        <w:t xml:space="preserve"> UNMIK investig</w:t>
      </w:r>
      <w:r w:rsidR="002E24E9" w:rsidRPr="005A3795">
        <w:t xml:space="preserve">ators contacted the complainant’s family twice: </w:t>
      </w:r>
      <w:r w:rsidR="00A54870" w:rsidRPr="005A3795">
        <w:t xml:space="preserve">by telephone in the aftermath of </w:t>
      </w:r>
      <w:proofErr w:type="spellStart"/>
      <w:r w:rsidR="00A54870" w:rsidRPr="005A3795">
        <w:t>Mrs</w:t>
      </w:r>
      <w:proofErr w:type="spellEnd"/>
      <w:r w:rsidR="00A54870" w:rsidRPr="005A3795">
        <w:t xml:space="preserve"> Vera </w:t>
      </w:r>
      <w:proofErr w:type="spellStart"/>
      <w:r w:rsidR="00A54870" w:rsidRPr="005A3795">
        <w:t>Škripac’s</w:t>
      </w:r>
      <w:proofErr w:type="spellEnd"/>
      <w:r w:rsidR="00A54870" w:rsidRPr="005A3795">
        <w:t xml:space="preserve"> disappearance and</w:t>
      </w:r>
      <w:r w:rsidR="002E24E9" w:rsidRPr="005A3795">
        <w:t xml:space="preserve"> with a meeting in </w:t>
      </w:r>
      <w:proofErr w:type="spellStart"/>
      <w:r w:rsidR="002E24E9" w:rsidRPr="005A3795">
        <w:t>Merdare</w:t>
      </w:r>
      <w:proofErr w:type="spellEnd"/>
      <w:r w:rsidR="002E24E9" w:rsidRPr="005A3795">
        <w:t xml:space="preserve"> in 2001, in order to collect additional ante-mortem information</w:t>
      </w:r>
      <w:r w:rsidRPr="005A3795">
        <w:t xml:space="preserve"> (see §</w:t>
      </w:r>
      <w:r w:rsidR="0062392C" w:rsidRPr="005A3795">
        <w:t>§ 29 and 35</w:t>
      </w:r>
      <w:r w:rsidRPr="005A3795">
        <w:t xml:space="preserve"> above). No further contact is documented in the file, including i</w:t>
      </w:r>
      <w:r w:rsidR="00874A40" w:rsidRPr="005A3795">
        <w:t>nforming the complainant and his</w:t>
      </w:r>
      <w:r w:rsidRPr="005A3795">
        <w:t xml:space="preserve"> family about the status of the investigation. </w:t>
      </w:r>
      <w:r w:rsidR="002E24E9" w:rsidRPr="005A3795">
        <w:t xml:space="preserve">The Panel also notes that, according to the investigative file submitted to the Panel, no witness statement was ever taken by the complainant or other family members, notwithstanding the fact that they had otherwise provided information to the investigators. </w:t>
      </w:r>
      <w:r w:rsidRPr="005A3795">
        <w:rPr>
          <w:lang w:val="en-GB"/>
        </w:rPr>
        <w:t>The Panel therefore considers that the investigation was not open to any public scrutiny, as required by Article 2 of the ECHR</w:t>
      </w:r>
      <w:r w:rsidR="00F251DE" w:rsidRPr="005A3795">
        <w:rPr>
          <w:lang w:val="en-GB"/>
        </w:rPr>
        <w:t xml:space="preserve"> </w:t>
      </w:r>
      <w:bookmarkEnd w:id="62"/>
      <w:r w:rsidR="0090189C" w:rsidRPr="005A3795">
        <w:rPr>
          <w:lang w:val="en-GB"/>
        </w:rPr>
        <w:t xml:space="preserve">(see, </w:t>
      </w:r>
      <w:r w:rsidR="0090189C" w:rsidRPr="005A3795">
        <w:rPr>
          <w:i/>
          <w:iCs/>
          <w:lang w:val="en-GB"/>
        </w:rPr>
        <w:t xml:space="preserve">a </w:t>
      </w:r>
      <w:proofErr w:type="spellStart"/>
      <w:r w:rsidR="0090189C" w:rsidRPr="005A3795">
        <w:rPr>
          <w:i/>
          <w:iCs/>
          <w:lang w:val="en-GB"/>
        </w:rPr>
        <w:t>contrario</w:t>
      </w:r>
      <w:proofErr w:type="spellEnd"/>
      <w:r w:rsidR="0090189C" w:rsidRPr="005A3795">
        <w:rPr>
          <w:lang w:val="en-GB"/>
        </w:rPr>
        <w:t xml:space="preserve">,  </w:t>
      </w:r>
      <w:proofErr w:type="spellStart"/>
      <w:r w:rsidR="0090189C" w:rsidRPr="005A3795">
        <w:rPr>
          <w:lang w:val="en-GB"/>
        </w:rPr>
        <w:t>ECtHR</w:t>
      </w:r>
      <w:proofErr w:type="spellEnd"/>
      <w:r w:rsidR="0090189C" w:rsidRPr="005A3795">
        <w:rPr>
          <w:lang w:val="en-GB"/>
        </w:rPr>
        <w:t xml:space="preserve"> [GC], </w:t>
      </w:r>
      <w:r w:rsidR="0090189C" w:rsidRPr="005A3795">
        <w:rPr>
          <w:i/>
          <w:iCs/>
          <w:lang w:val="en-GB"/>
        </w:rPr>
        <w:t xml:space="preserve">Mustafa </w:t>
      </w:r>
      <w:proofErr w:type="spellStart"/>
      <w:r w:rsidR="0090189C" w:rsidRPr="005A3795">
        <w:rPr>
          <w:i/>
          <w:iCs/>
          <w:lang w:val="en-GB"/>
        </w:rPr>
        <w:t>Tunç</w:t>
      </w:r>
      <w:proofErr w:type="spellEnd"/>
      <w:r w:rsidR="0090189C" w:rsidRPr="005A3795">
        <w:rPr>
          <w:i/>
          <w:iCs/>
          <w:lang w:val="en-GB"/>
        </w:rPr>
        <w:t xml:space="preserve"> and </w:t>
      </w:r>
      <w:proofErr w:type="spellStart"/>
      <w:r w:rsidR="0090189C" w:rsidRPr="005A3795">
        <w:rPr>
          <w:i/>
          <w:iCs/>
          <w:lang w:val="en-GB"/>
        </w:rPr>
        <w:t>Fecire</w:t>
      </w:r>
      <w:proofErr w:type="spellEnd"/>
      <w:r w:rsidR="0090189C" w:rsidRPr="005A3795">
        <w:rPr>
          <w:i/>
          <w:iCs/>
          <w:lang w:val="en-GB"/>
        </w:rPr>
        <w:t xml:space="preserve"> </w:t>
      </w:r>
      <w:proofErr w:type="spellStart"/>
      <w:r w:rsidR="0090189C" w:rsidRPr="005A3795">
        <w:rPr>
          <w:i/>
          <w:iCs/>
          <w:lang w:val="en-GB"/>
        </w:rPr>
        <w:t>Tunç</w:t>
      </w:r>
      <w:proofErr w:type="spellEnd"/>
      <w:r w:rsidR="0090189C" w:rsidRPr="005A3795">
        <w:rPr>
          <w:i/>
          <w:iCs/>
          <w:lang w:val="en-GB"/>
        </w:rPr>
        <w:t xml:space="preserve"> v. Turkey</w:t>
      </w:r>
      <w:r w:rsidR="0090189C" w:rsidRPr="005A3795">
        <w:rPr>
          <w:lang w:val="en-GB"/>
        </w:rPr>
        <w:t>, no. 24</w:t>
      </w:r>
      <w:r w:rsidR="00E84F72" w:rsidRPr="005A3795">
        <w:rPr>
          <w:lang w:val="en-GB"/>
        </w:rPr>
        <w:t>014/05, judgment of 14 April 201</w:t>
      </w:r>
      <w:r w:rsidR="0090189C" w:rsidRPr="005A3795">
        <w:rPr>
          <w:lang w:val="en-GB"/>
        </w:rPr>
        <w:t>5, §§ 210 - 216).</w:t>
      </w:r>
    </w:p>
    <w:p w:rsidR="00E92DED" w:rsidRPr="00B62920" w:rsidRDefault="00E92DED" w:rsidP="00874A40">
      <w:pPr>
        <w:rPr>
          <w:color w:val="000000" w:themeColor="text1"/>
          <w:lang w:val="en-GB"/>
        </w:rPr>
      </w:pPr>
    </w:p>
    <w:p w:rsidR="00A54870" w:rsidRPr="005A3795" w:rsidRDefault="00A54870" w:rsidP="00B14118">
      <w:pPr>
        <w:numPr>
          <w:ilvl w:val="0"/>
          <w:numId w:val="2"/>
        </w:numPr>
        <w:tabs>
          <w:tab w:val="clear" w:pos="360"/>
          <w:tab w:val="left" w:pos="709"/>
        </w:tabs>
        <w:suppressAutoHyphens/>
        <w:autoSpaceDE w:val="0"/>
        <w:ind w:left="450" w:hanging="450"/>
        <w:jc w:val="both"/>
      </w:pPr>
      <w:r w:rsidRPr="005A3795">
        <w:rPr>
          <w:bCs/>
          <w:lang w:val="en-GB"/>
        </w:rPr>
        <w:t xml:space="preserve">The </w:t>
      </w:r>
      <w:r w:rsidRPr="00B14118">
        <w:t>Panel</w:t>
      </w:r>
      <w:r w:rsidRPr="005A3795">
        <w:rPr>
          <w:bCs/>
          <w:lang w:val="en-GB"/>
        </w:rPr>
        <w:t xml:space="preserve"> also </w:t>
      </w:r>
      <w:r w:rsidRPr="005A3795">
        <w:rPr>
          <w:color w:val="000000"/>
          <w:lang w:val="en-GB"/>
        </w:rPr>
        <w:t>recalls the SRSG’s comment that the present case is similar to other cases of killings, abductions and disappearances where UNMIK’s investigations “inevitably” stalled due to the lack of evidence and witnesses (see § 63 above).</w:t>
      </w:r>
      <w:r w:rsidRPr="005A3795">
        <w:rPr>
          <w:bCs/>
          <w:lang w:val="en-GB"/>
        </w:rPr>
        <w:t xml:space="preserve"> </w:t>
      </w:r>
      <w:r w:rsidRPr="005A3795">
        <w:rPr>
          <w:lang w:val="en-GB"/>
        </w:rPr>
        <w:t xml:space="preserve">For its part, the Panel, in light of the shortcomings and deficiencies in the investigation described above, considers that the case of </w:t>
      </w:r>
      <w:proofErr w:type="spellStart"/>
      <w:r w:rsidRPr="005A3795">
        <w:t>Mrs</w:t>
      </w:r>
      <w:proofErr w:type="spellEnd"/>
      <w:r w:rsidRPr="005A3795">
        <w:t xml:space="preserve"> Vera </w:t>
      </w:r>
      <w:proofErr w:type="spellStart"/>
      <w:r w:rsidRPr="005A3795">
        <w:t>Škripac</w:t>
      </w:r>
      <w:proofErr w:type="spellEnd"/>
      <w:r w:rsidRPr="005A3795">
        <w:t xml:space="preserve">, </w:t>
      </w:r>
      <w:r w:rsidRPr="005A3795">
        <w:rPr>
          <w:lang w:val="en-GB"/>
        </w:rPr>
        <w:t xml:space="preserve">as well as other cases of killings, abductions and disappearances previously examined, well exemplify a pattern </w:t>
      </w:r>
      <w:r w:rsidRPr="005A3795">
        <w:t xml:space="preserve">of perfunctory and </w:t>
      </w:r>
      <w:r w:rsidRPr="005A3795">
        <w:rPr>
          <w:lang w:val="en-GB"/>
        </w:rPr>
        <w:t xml:space="preserve">unproductive investigations conducted by the UNMIK Police into killings and disappearances in Kosovo (see § </w:t>
      </w:r>
      <w:r w:rsidR="00E60ACB" w:rsidRPr="005A3795">
        <w:t>92</w:t>
      </w:r>
      <w:r w:rsidRPr="005A3795">
        <w:rPr>
          <w:lang w:val="en-GB"/>
        </w:rPr>
        <w:t xml:space="preserve"> above; compare with HRC, </w:t>
      </w:r>
      <w:proofErr w:type="spellStart"/>
      <w:r w:rsidRPr="005A3795">
        <w:rPr>
          <w:i/>
          <w:lang w:val="en-GB"/>
        </w:rPr>
        <w:t>Abubakar</w:t>
      </w:r>
      <w:proofErr w:type="spellEnd"/>
      <w:r w:rsidRPr="005A3795">
        <w:rPr>
          <w:i/>
          <w:lang w:val="en-GB"/>
        </w:rPr>
        <w:t xml:space="preserve"> </w:t>
      </w:r>
      <w:proofErr w:type="spellStart"/>
      <w:r w:rsidRPr="005A3795">
        <w:rPr>
          <w:i/>
          <w:lang w:val="en-GB"/>
        </w:rPr>
        <w:t>Amirov</w:t>
      </w:r>
      <w:proofErr w:type="spellEnd"/>
      <w:r w:rsidRPr="005A3795">
        <w:rPr>
          <w:i/>
          <w:lang w:val="en-GB"/>
        </w:rPr>
        <w:t xml:space="preserve"> and </w:t>
      </w:r>
      <w:proofErr w:type="spellStart"/>
      <w:r w:rsidRPr="005A3795">
        <w:rPr>
          <w:i/>
          <w:lang w:val="en-GB"/>
        </w:rPr>
        <w:t>Aïzan</w:t>
      </w:r>
      <w:proofErr w:type="spellEnd"/>
      <w:r w:rsidRPr="005A3795">
        <w:rPr>
          <w:i/>
          <w:lang w:val="en-GB"/>
        </w:rPr>
        <w:t xml:space="preserve"> </w:t>
      </w:r>
      <w:proofErr w:type="spellStart"/>
      <w:r w:rsidRPr="005A3795">
        <w:rPr>
          <w:i/>
          <w:lang w:val="en-GB"/>
        </w:rPr>
        <w:t>Amirova</w:t>
      </w:r>
      <w:proofErr w:type="spellEnd"/>
      <w:r w:rsidRPr="005A3795">
        <w:rPr>
          <w:i/>
          <w:lang w:val="en-GB"/>
        </w:rPr>
        <w:t xml:space="preserve"> v. Russian Federation</w:t>
      </w:r>
      <w:r w:rsidRPr="005A3795">
        <w:rPr>
          <w:lang w:val="en-GB"/>
        </w:rPr>
        <w:t xml:space="preserve">, cited in § </w:t>
      </w:r>
      <w:r w:rsidR="009C4248" w:rsidRPr="005A3795">
        <w:t>88</w:t>
      </w:r>
      <w:r w:rsidRPr="005A3795">
        <w:rPr>
          <w:lang w:val="en-GB"/>
        </w:rPr>
        <w:t xml:space="preserve"> above, at § 11.4; see also HRAP, </w:t>
      </w:r>
      <w:proofErr w:type="spellStart"/>
      <w:r w:rsidRPr="005A3795">
        <w:rPr>
          <w:i/>
          <w:lang w:val="en-GB"/>
        </w:rPr>
        <w:t>Bulatović</w:t>
      </w:r>
      <w:proofErr w:type="spellEnd"/>
      <w:r w:rsidRPr="005A3795">
        <w:rPr>
          <w:lang w:val="en-GB"/>
        </w:rPr>
        <w:t xml:space="preserve">, cited in § </w:t>
      </w:r>
      <w:r w:rsidR="009C4248" w:rsidRPr="005A3795">
        <w:rPr>
          <w:lang w:val="en-GB"/>
        </w:rPr>
        <w:t>105</w:t>
      </w:r>
      <w:r w:rsidRPr="005A3795">
        <w:rPr>
          <w:lang w:val="en-GB"/>
        </w:rPr>
        <w:t xml:space="preserve"> above, at §§ 85 and 101).</w:t>
      </w:r>
    </w:p>
    <w:p w:rsidR="00E92DED" w:rsidRPr="005A3795" w:rsidRDefault="00E92DED" w:rsidP="00A54870">
      <w:pPr>
        <w:rPr>
          <w:lang w:val="en-GB"/>
        </w:rPr>
      </w:pPr>
    </w:p>
    <w:p w:rsidR="00E92DED" w:rsidRPr="005A3795" w:rsidRDefault="00E92DED" w:rsidP="00E92DED">
      <w:pPr>
        <w:numPr>
          <w:ilvl w:val="0"/>
          <w:numId w:val="2"/>
        </w:numPr>
        <w:tabs>
          <w:tab w:val="clear" w:pos="360"/>
          <w:tab w:val="left" w:pos="709"/>
        </w:tabs>
        <w:suppressAutoHyphens/>
        <w:autoSpaceDE w:val="0"/>
        <w:ind w:left="450" w:hanging="450"/>
        <w:jc w:val="both"/>
        <w:rPr>
          <w:lang w:val="en-GB"/>
        </w:rPr>
      </w:pPr>
      <w:r w:rsidRPr="005A3795">
        <w:rPr>
          <w:lang w:val="en-GB"/>
        </w:rPr>
        <w:t xml:space="preserve">Therefore, the Panel concludes that UNMIK failed to carry out an </w:t>
      </w:r>
      <w:r w:rsidRPr="005A3795">
        <w:rPr>
          <w:lang w:val="en-GB" w:eastAsia="en-GB"/>
        </w:rPr>
        <w:t>effective</w:t>
      </w:r>
      <w:r w:rsidRPr="005A3795">
        <w:rPr>
          <w:lang w:val="en-GB"/>
        </w:rPr>
        <w:t xml:space="preserve"> investigation into the</w:t>
      </w:r>
      <w:r w:rsidR="00874A40" w:rsidRPr="005A3795">
        <w:rPr>
          <w:lang w:val="en-GB"/>
        </w:rPr>
        <w:t xml:space="preserve"> </w:t>
      </w:r>
      <w:r w:rsidR="00A54870" w:rsidRPr="005A3795">
        <w:rPr>
          <w:lang w:val="en-GB"/>
        </w:rPr>
        <w:t>abduction and disappearance</w:t>
      </w:r>
      <w:r w:rsidRPr="005A3795">
        <w:rPr>
          <w:lang w:val="en-GB"/>
        </w:rPr>
        <w:t xml:space="preserve"> </w:t>
      </w:r>
      <w:r w:rsidRPr="005A3795">
        <w:rPr>
          <w:bCs/>
          <w:lang w:val="en-GB"/>
        </w:rPr>
        <w:t xml:space="preserve">of </w:t>
      </w:r>
      <w:proofErr w:type="spellStart"/>
      <w:r w:rsidR="00A54870" w:rsidRPr="005A3795">
        <w:t>Mrs</w:t>
      </w:r>
      <w:proofErr w:type="spellEnd"/>
      <w:r w:rsidR="00A54870" w:rsidRPr="005A3795">
        <w:t xml:space="preserve"> Vera </w:t>
      </w:r>
      <w:proofErr w:type="spellStart"/>
      <w:r w:rsidR="00A54870" w:rsidRPr="005A3795">
        <w:t>Škripac</w:t>
      </w:r>
      <w:proofErr w:type="spellEnd"/>
      <w:r w:rsidRPr="005A3795">
        <w:t xml:space="preserve">. </w:t>
      </w:r>
      <w:r w:rsidRPr="005A3795">
        <w:rPr>
          <w:lang w:val="en-GB"/>
        </w:rPr>
        <w:t xml:space="preserve">There </w:t>
      </w:r>
      <w:r w:rsidRPr="005A3795">
        <w:rPr>
          <w:lang w:val="en-GB" w:eastAsia="en-GB"/>
        </w:rPr>
        <w:t>has</w:t>
      </w:r>
      <w:r w:rsidRPr="005A3795">
        <w:rPr>
          <w:lang w:val="en-GB"/>
        </w:rPr>
        <w:t xml:space="preserve"> accordingly been a violation of Article 2, procedural limb, of the ECHR. </w:t>
      </w:r>
    </w:p>
    <w:p w:rsidR="00711F6E" w:rsidRPr="005A3795" w:rsidRDefault="00711F6E" w:rsidP="00E92DED">
      <w:pPr>
        <w:tabs>
          <w:tab w:val="left" w:pos="709"/>
        </w:tabs>
        <w:suppressAutoHyphens/>
        <w:autoSpaceDE w:val="0"/>
        <w:ind w:left="360"/>
        <w:jc w:val="both"/>
        <w:rPr>
          <w:lang w:val="en-GB"/>
        </w:rPr>
      </w:pPr>
    </w:p>
    <w:p w:rsidR="00711F6E" w:rsidRPr="005A3795" w:rsidRDefault="00711F6E" w:rsidP="00711F6E">
      <w:pPr>
        <w:pStyle w:val="ListParagraph"/>
        <w:numPr>
          <w:ilvl w:val="0"/>
          <w:numId w:val="4"/>
        </w:numPr>
        <w:tabs>
          <w:tab w:val="left" w:pos="709"/>
        </w:tabs>
        <w:autoSpaceDE w:val="0"/>
        <w:jc w:val="both"/>
        <w:rPr>
          <w:lang w:val="en-GB"/>
        </w:rPr>
      </w:pPr>
      <w:r w:rsidRPr="005A3795">
        <w:rPr>
          <w:b/>
          <w:color w:val="000000" w:themeColor="text1"/>
          <w:lang w:val="en-GB"/>
        </w:rPr>
        <w:t>Alleged violation of Article 3 of the ECHR</w:t>
      </w:r>
    </w:p>
    <w:p w:rsidR="00711F6E" w:rsidRPr="005A3795" w:rsidRDefault="00711F6E" w:rsidP="00711F6E">
      <w:pPr>
        <w:pStyle w:val="ListParagraph"/>
        <w:rPr>
          <w:color w:val="000000" w:themeColor="text1"/>
          <w:lang w:val="en-GB"/>
        </w:rPr>
      </w:pPr>
    </w:p>
    <w:p w:rsidR="00711F6E" w:rsidRPr="005A3795" w:rsidRDefault="00711F6E" w:rsidP="00711F6E">
      <w:pPr>
        <w:numPr>
          <w:ilvl w:val="0"/>
          <w:numId w:val="2"/>
        </w:numPr>
        <w:tabs>
          <w:tab w:val="clear" w:pos="360"/>
          <w:tab w:val="left" w:pos="709"/>
        </w:tabs>
        <w:suppressAutoHyphens/>
        <w:autoSpaceDE w:val="0"/>
        <w:ind w:left="450" w:hanging="450"/>
        <w:jc w:val="both"/>
        <w:rPr>
          <w:lang w:val="en-GB"/>
        </w:rPr>
      </w:pPr>
      <w:r w:rsidRPr="005A3795">
        <w:rPr>
          <w:color w:val="000000" w:themeColor="text1"/>
          <w:lang w:val="en-GB"/>
        </w:rPr>
        <w:t xml:space="preserve">The Panel </w:t>
      </w:r>
      <w:r w:rsidRPr="005A3795">
        <w:rPr>
          <w:bCs/>
          <w:color w:val="000000" w:themeColor="text1"/>
        </w:rPr>
        <w:t>considers</w:t>
      </w:r>
      <w:r w:rsidRPr="005A3795">
        <w:rPr>
          <w:color w:val="000000" w:themeColor="text1"/>
          <w:lang w:val="en-GB"/>
        </w:rPr>
        <w:t xml:space="preserve"> that the complainant invokes, in substance, a violation of the right to be free from inhumane or degrading treatment arising out of the </w:t>
      </w:r>
      <w:r w:rsidR="001F0511" w:rsidRPr="005A3795">
        <w:rPr>
          <w:color w:val="000000" w:themeColor="text1"/>
          <w:lang w:val="en-GB"/>
        </w:rPr>
        <w:t>disappearance</w:t>
      </w:r>
      <w:r w:rsidR="00994974" w:rsidRPr="005A3795">
        <w:rPr>
          <w:color w:val="000000" w:themeColor="text1"/>
          <w:lang w:val="en-GB"/>
        </w:rPr>
        <w:t xml:space="preserve"> </w:t>
      </w:r>
      <w:r w:rsidR="00D03F27" w:rsidRPr="005A3795">
        <w:rPr>
          <w:color w:val="000000" w:themeColor="text1"/>
          <w:lang w:val="en-GB"/>
        </w:rPr>
        <w:t xml:space="preserve">of </w:t>
      </w:r>
      <w:r w:rsidR="003238D1" w:rsidRPr="005A3795">
        <w:rPr>
          <w:color w:val="000000" w:themeColor="text1"/>
          <w:lang w:val="en-GB"/>
        </w:rPr>
        <w:t>his</w:t>
      </w:r>
      <w:r w:rsidRPr="005A3795">
        <w:rPr>
          <w:color w:val="000000" w:themeColor="text1"/>
          <w:lang w:val="en-GB"/>
        </w:rPr>
        <w:t xml:space="preserve"> </w:t>
      </w:r>
      <w:r w:rsidR="00B34096" w:rsidRPr="005A3795">
        <w:rPr>
          <w:color w:val="000000" w:themeColor="text1"/>
          <w:lang w:val="en-GB"/>
        </w:rPr>
        <w:t>mother</w:t>
      </w:r>
      <w:r w:rsidRPr="005A3795">
        <w:rPr>
          <w:color w:val="000000" w:themeColor="text1"/>
          <w:lang w:val="en-GB"/>
        </w:rPr>
        <w:t xml:space="preserve">, as guaranteed by Article 3 of the ECHR. </w:t>
      </w:r>
    </w:p>
    <w:p w:rsidR="00711F6E" w:rsidRPr="00B62920" w:rsidRDefault="00711F6E" w:rsidP="00711F6E">
      <w:pPr>
        <w:tabs>
          <w:tab w:val="left" w:pos="709"/>
        </w:tabs>
        <w:suppressAutoHyphens/>
        <w:autoSpaceDE w:val="0"/>
        <w:ind w:left="450"/>
        <w:jc w:val="both"/>
        <w:rPr>
          <w:color w:val="000000" w:themeColor="text1"/>
          <w:lang w:val="en-GB"/>
        </w:rPr>
      </w:pPr>
    </w:p>
    <w:p w:rsidR="00711F6E" w:rsidRPr="005A3795" w:rsidRDefault="00711F6E" w:rsidP="00711F6E">
      <w:pPr>
        <w:pStyle w:val="ListParagraph1"/>
        <w:numPr>
          <w:ilvl w:val="0"/>
          <w:numId w:val="17"/>
        </w:numPr>
        <w:jc w:val="both"/>
        <w:rPr>
          <w:b/>
          <w:color w:val="000000" w:themeColor="text1"/>
        </w:rPr>
      </w:pPr>
      <w:r w:rsidRPr="005A3795">
        <w:rPr>
          <w:b/>
          <w:color w:val="000000" w:themeColor="text1"/>
        </w:rPr>
        <w:t xml:space="preserve">The scope of the Panel’s review </w:t>
      </w:r>
    </w:p>
    <w:p w:rsidR="00711F6E" w:rsidRPr="005A3795" w:rsidRDefault="00711F6E" w:rsidP="00AD7F08">
      <w:pPr>
        <w:tabs>
          <w:tab w:val="left" w:pos="709"/>
        </w:tabs>
        <w:suppressAutoHyphens/>
        <w:autoSpaceDE w:val="0"/>
        <w:jc w:val="both"/>
        <w:rPr>
          <w:lang w:val="en-GB"/>
        </w:rPr>
      </w:pPr>
    </w:p>
    <w:p w:rsidR="00711F6E" w:rsidRPr="005A3795" w:rsidRDefault="00711F6E" w:rsidP="00711F6E">
      <w:pPr>
        <w:numPr>
          <w:ilvl w:val="0"/>
          <w:numId w:val="2"/>
        </w:numPr>
        <w:tabs>
          <w:tab w:val="clear" w:pos="360"/>
          <w:tab w:val="left" w:pos="709"/>
        </w:tabs>
        <w:suppressAutoHyphens/>
        <w:autoSpaceDE w:val="0"/>
        <w:ind w:left="450" w:hanging="450"/>
        <w:jc w:val="both"/>
        <w:rPr>
          <w:lang w:val="en-GB"/>
        </w:rPr>
      </w:pPr>
      <w:r w:rsidRPr="005A3795">
        <w:rPr>
          <w:color w:val="000000" w:themeColor="text1"/>
          <w:lang w:val="en-GB"/>
        </w:rPr>
        <w:t xml:space="preserve">The Panel will consider </w:t>
      </w:r>
      <w:r w:rsidRPr="005A3795">
        <w:rPr>
          <w:bCs/>
          <w:color w:val="000000" w:themeColor="text1"/>
        </w:rPr>
        <w:t>the</w:t>
      </w:r>
      <w:r w:rsidRPr="005A3795">
        <w:rPr>
          <w:color w:val="000000" w:themeColor="text1"/>
          <w:lang w:val="en-GB"/>
        </w:rPr>
        <w:t xml:space="preserve"> allegations under Article 3 of the ECHR, applying the same scope of review as was set out with regard to Article 2 (see §§ </w:t>
      </w:r>
      <w:r w:rsidRPr="005A3795">
        <w:fldChar w:fldCharType="begin"/>
      </w:r>
      <w:r w:rsidRPr="005A3795">
        <w:rPr>
          <w:color w:val="000000" w:themeColor="text1"/>
          <w:lang w:val="en-GB"/>
        </w:rPr>
        <w:instrText xml:space="preserve"> REF _Ref409020267 \r \h </w:instrText>
      </w:r>
      <w:r w:rsidR="000D2756" w:rsidRPr="005A3795">
        <w:instrText xml:space="preserve"> \* MERGEFORMAT </w:instrText>
      </w:r>
      <w:r w:rsidRPr="005A3795">
        <w:fldChar w:fldCharType="separate"/>
      </w:r>
      <w:r w:rsidR="00C60385">
        <w:rPr>
          <w:color w:val="000000" w:themeColor="text1"/>
          <w:lang w:val="en-GB"/>
        </w:rPr>
        <w:t>42</w:t>
      </w:r>
      <w:r w:rsidRPr="005A3795">
        <w:fldChar w:fldCharType="end"/>
      </w:r>
      <w:r w:rsidRPr="005A3795">
        <w:rPr>
          <w:color w:val="000000" w:themeColor="text1"/>
          <w:lang w:val="en-GB"/>
        </w:rPr>
        <w:t>-</w:t>
      </w:r>
      <w:r w:rsidR="005A3795" w:rsidRPr="005A3795">
        <w:t>47</w:t>
      </w:r>
      <w:r w:rsidRPr="005A3795">
        <w:rPr>
          <w:color w:val="000000" w:themeColor="text1"/>
          <w:lang w:val="en-GB"/>
        </w:rPr>
        <w:t xml:space="preserve"> above).</w:t>
      </w:r>
      <w:bookmarkStart w:id="63" w:name="_Ref374623030"/>
    </w:p>
    <w:p w:rsidR="00711F6E" w:rsidRPr="00B62920" w:rsidRDefault="00711F6E" w:rsidP="00711F6E">
      <w:pPr>
        <w:tabs>
          <w:tab w:val="left" w:pos="709"/>
        </w:tabs>
        <w:suppressAutoHyphens/>
        <w:autoSpaceDE w:val="0"/>
        <w:ind w:left="450"/>
        <w:jc w:val="both"/>
        <w:rPr>
          <w:lang w:val="en-GB"/>
        </w:rPr>
      </w:pPr>
    </w:p>
    <w:p w:rsidR="00711F6E" w:rsidRPr="00B62920" w:rsidRDefault="00711F6E" w:rsidP="00711F6E">
      <w:pPr>
        <w:numPr>
          <w:ilvl w:val="0"/>
          <w:numId w:val="2"/>
        </w:numPr>
        <w:tabs>
          <w:tab w:val="clear" w:pos="360"/>
          <w:tab w:val="left" w:pos="709"/>
        </w:tabs>
        <w:suppressAutoHyphens/>
        <w:autoSpaceDE w:val="0"/>
        <w:ind w:left="450" w:hanging="450"/>
        <w:jc w:val="both"/>
        <w:rPr>
          <w:lang w:val="en-GB"/>
        </w:rPr>
      </w:pPr>
      <w:r w:rsidRPr="00B62920">
        <w:rPr>
          <w:color w:val="000000" w:themeColor="text1"/>
          <w:lang w:val="en-GB"/>
        </w:rPr>
        <w:t xml:space="preserve">The Panel recalls that the European Court of Human Rights has found on many occasions that a situation of </w:t>
      </w:r>
      <w:r w:rsidRPr="00B62920">
        <w:rPr>
          <w:bCs/>
          <w:color w:val="000000" w:themeColor="text1"/>
        </w:rPr>
        <w:t>enforced</w:t>
      </w:r>
      <w:r w:rsidRPr="00B62920">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B62920">
        <w:rPr>
          <w:color w:val="000000" w:themeColor="text1"/>
          <w:lang w:val="en-GB"/>
        </w:rPr>
        <w:t>ECtHR</w:t>
      </w:r>
      <w:proofErr w:type="spellEnd"/>
      <w:r w:rsidRPr="00B62920">
        <w:rPr>
          <w:color w:val="000000" w:themeColor="text1"/>
          <w:lang w:val="en-GB"/>
        </w:rPr>
        <w:t xml:space="preserve"> [GC], </w:t>
      </w:r>
      <w:proofErr w:type="spellStart"/>
      <w:r w:rsidRPr="00B62920">
        <w:rPr>
          <w:i/>
          <w:color w:val="000000" w:themeColor="text1"/>
          <w:lang w:val="en-GB"/>
        </w:rPr>
        <w:t>Çakici</w:t>
      </w:r>
      <w:proofErr w:type="spellEnd"/>
      <w:r w:rsidRPr="00B62920">
        <w:rPr>
          <w:i/>
          <w:color w:val="000000" w:themeColor="text1"/>
          <w:lang w:val="en-GB"/>
        </w:rPr>
        <w:t xml:space="preserve"> v. Turkey</w:t>
      </w:r>
      <w:r w:rsidRPr="00B62920">
        <w:rPr>
          <w:color w:val="000000" w:themeColor="text1"/>
          <w:lang w:val="en-GB"/>
        </w:rPr>
        <w:t xml:space="preserve">, no. 23657/94, judgment of 8 July 1999, § 98, </w:t>
      </w:r>
      <w:r w:rsidRPr="00B62920">
        <w:rPr>
          <w:i/>
          <w:color w:val="000000" w:themeColor="text1"/>
          <w:lang w:val="en-GB"/>
        </w:rPr>
        <w:t>ECHR</w:t>
      </w:r>
      <w:r w:rsidRPr="00B62920">
        <w:rPr>
          <w:color w:val="000000" w:themeColor="text1"/>
          <w:lang w:val="en-GB"/>
        </w:rPr>
        <w:t xml:space="preserve">, 1999-IV; ECtHR [GC], </w:t>
      </w:r>
      <w:r w:rsidRPr="00B62920">
        <w:rPr>
          <w:i/>
          <w:color w:val="000000" w:themeColor="text1"/>
          <w:lang w:val="en-GB"/>
        </w:rPr>
        <w:t>Cyprus v. Turkey</w:t>
      </w:r>
      <w:r w:rsidRPr="00B62920">
        <w:rPr>
          <w:color w:val="000000" w:themeColor="text1"/>
          <w:lang w:val="en-GB"/>
        </w:rPr>
        <w:t>, no. 25781/94, judgment of 10 May 2001, § 156,</w:t>
      </w:r>
      <w:r w:rsidRPr="00B62920">
        <w:rPr>
          <w:i/>
          <w:color w:val="000000" w:themeColor="text1"/>
          <w:lang w:val="en-GB"/>
        </w:rPr>
        <w:t xml:space="preserve"> ECHR</w:t>
      </w:r>
      <w:r w:rsidRPr="00B62920">
        <w:rPr>
          <w:color w:val="000000" w:themeColor="text1"/>
          <w:lang w:val="en-GB"/>
        </w:rPr>
        <w:t xml:space="preserve">, 2001-IV; </w:t>
      </w:r>
      <w:proofErr w:type="spellStart"/>
      <w:r w:rsidRPr="00B62920">
        <w:rPr>
          <w:color w:val="000000" w:themeColor="text1"/>
          <w:lang w:val="en-GB"/>
        </w:rPr>
        <w:t>ECtHR</w:t>
      </w:r>
      <w:proofErr w:type="spellEnd"/>
      <w:r w:rsidRPr="00B62920">
        <w:rPr>
          <w:color w:val="000000" w:themeColor="text1"/>
          <w:lang w:val="en-GB"/>
        </w:rPr>
        <w:t xml:space="preserve">, </w:t>
      </w:r>
      <w:proofErr w:type="spellStart"/>
      <w:r w:rsidRPr="00B62920">
        <w:rPr>
          <w:i/>
          <w:color w:val="000000" w:themeColor="text1"/>
          <w:lang w:val="en-GB"/>
        </w:rPr>
        <w:t>Orhan</w:t>
      </w:r>
      <w:proofErr w:type="spellEnd"/>
      <w:r w:rsidRPr="00B62920">
        <w:rPr>
          <w:i/>
          <w:color w:val="000000" w:themeColor="text1"/>
          <w:lang w:val="en-GB"/>
        </w:rPr>
        <w:t xml:space="preserve"> v. Turkey</w:t>
      </w:r>
      <w:r w:rsidRPr="00B62920">
        <w:rPr>
          <w:color w:val="000000" w:themeColor="text1"/>
          <w:lang w:val="en-GB"/>
        </w:rPr>
        <w:t xml:space="preserve">, no. 25656/94, judgment of 18 June 2002, § 358; </w:t>
      </w:r>
      <w:proofErr w:type="spellStart"/>
      <w:r w:rsidRPr="00B62920">
        <w:rPr>
          <w:color w:val="000000" w:themeColor="text1"/>
          <w:lang w:val="en-GB"/>
        </w:rPr>
        <w:t>ECtHR</w:t>
      </w:r>
      <w:proofErr w:type="spellEnd"/>
      <w:r w:rsidRPr="00B62920">
        <w:rPr>
          <w:color w:val="000000" w:themeColor="text1"/>
          <w:lang w:val="en-GB"/>
        </w:rPr>
        <w:t xml:space="preserve">, </w:t>
      </w:r>
      <w:proofErr w:type="spellStart"/>
      <w:r w:rsidRPr="00B62920">
        <w:rPr>
          <w:i/>
          <w:color w:val="000000" w:themeColor="text1"/>
          <w:lang w:val="en-GB"/>
        </w:rPr>
        <w:t>Bazorkina</w:t>
      </w:r>
      <w:proofErr w:type="spellEnd"/>
      <w:r w:rsidRPr="00B62920">
        <w:rPr>
          <w:i/>
          <w:color w:val="000000" w:themeColor="text1"/>
          <w:lang w:val="en-GB"/>
        </w:rPr>
        <w:t xml:space="preserve"> v. Russia</w:t>
      </w:r>
      <w:r w:rsidRPr="00B62920">
        <w:rPr>
          <w:color w:val="000000" w:themeColor="text1"/>
          <w:lang w:val="en-GB"/>
        </w:rPr>
        <w:t xml:space="preserve">, cited in § </w:t>
      </w:r>
      <w:r w:rsidR="00FC30AF" w:rsidRPr="00B62920">
        <w:fldChar w:fldCharType="begin"/>
      </w:r>
      <w:r w:rsidR="00FC30AF" w:rsidRPr="00B62920">
        <w:rPr>
          <w:color w:val="000000" w:themeColor="text1"/>
          <w:lang w:val="en-GB"/>
        </w:rPr>
        <w:instrText xml:space="preserve"> REF _Ref366241459 \r \h </w:instrText>
      </w:r>
      <w:r w:rsidR="000D2756" w:rsidRPr="00B62920">
        <w:instrText xml:space="preserve"> \* MERGEFORMAT </w:instrText>
      </w:r>
      <w:r w:rsidR="00FC30AF" w:rsidRPr="00B62920">
        <w:fldChar w:fldCharType="separate"/>
      </w:r>
      <w:r w:rsidR="00C60385">
        <w:rPr>
          <w:color w:val="000000" w:themeColor="text1"/>
          <w:lang w:val="en-GB"/>
        </w:rPr>
        <w:t>87</w:t>
      </w:r>
      <w:r w:rsidR="00FC30AF" w:rsidRPr="00B62920">
        <w:fldChar w:fldCharType="end"/>
      </w:r>
      <w:r w:rsidR="00FC30AF" w:rsidRPr="00B62920">
        <w:t xml:space="preserve"> </w:t>
      </w:r>
      <w:r w:rsidRPr="00B62920">
        <w:rPr>
          <w:color w:val="000000" w:themeColor="text1"/>
          <w:lang w:val="en-GB"/>
        </w:rPr>
        <w:t xml:space="preserve">above, at § 139; </w:t>
      </w:r>
      <w:proofErr w:type="spellStart"/>
      <w:r w:rsidRPr="00B62920">
        <w:rPr>
          <w:color w:val="000000" w:themeColor="text1"/>
          <w:lang w:val="en-GB"/>
        </w:rPr>
        <w:t>ECtHR</w:t>
      </w:r>
      <w:proofErr w:type="spellEnd"/>
      <w:r w:rsidRPr="00B62920">
        <w:rPr>
          <w:color w:val="000000" w:themeColor="text1"/>
          <w:lang w:val="en-GB"/>
        </w:rPr>
        <w:t xml:space="preserve">, </w:t>
      </w:r>
      <w:proofErr w:type="spellStart"/>
      <w:r w:rsidRPr="00B62920">
        <w:rPr>
          <w:i/>
          <w:color w:val="000000" w:themeColor="text1"/>
          <w:lang w:val="en-GB"/>
        </w:rPr>
        <w:t>Palić</w:t>
      </w:r>
      <w:proofErr w:type="spellEnd"/>
      <w:r w:rsidRPr="00B62920">
        <w:rPr>
          <w:i/>
          <w:color w:val="000000" w:themeColor="text1"/>
          <w:lang w:val="en-GB"/>
        </w:rPr>
        <w:t xml:space="preserve"> v. Bosnia and Herzegovina,</w:t>
      </w:r>
      <w:r w:rsidRPr="00B62920">
        <w:rPr>
          <w:color w:val="000000" w:themeColor="text1"/>
          <w:lang w:val="en-GB"/>
        </w:rPr>
        <w:t xml:space="preserve"> cited in § </w:t>
      </w:r>
      <w:r w:rsidR="00FC30AF" w:rsidRPr="00B62920">
        <w:fldChar w:fldCharType="begin"/>
      </w:r>
      <w:r w:rsidR="00FC30AF" w:rsidRPr="00B62920">
        <w:rPr>
          <w:color w:val="000000" w:themeColor="text1"/>
          <w:lang w:val="en-GB"/>
        </w:rPr>
        <w:instrText xml:space="preserve"> REF _Ref366239979 \r \h </w:instrText>
      </w:r>
      <w:r w:rsidR="000D2756" w:rsidRPr="00B62920">
        <w:instrText xml:space="preserve"> \* MERGEFORMAT </w:instrText>
      </w:r>
      <w:r w:rsidR="00FC30AF" w:rsidRPr="00B62920">
        <w:fldChar w:fldCharType="separate"/>
      </w:r>
      <w:r w:rsidR="00C60385">
        <w:rPr>
          <w:color w:val="000000" w:themeColor="text1"/>
          <w:lang w:val="en-GB"/>
        </w:rPr>
        <w:t>76</w:t>
      </w:r>
      <w:r w:rsidR="00FC30AF" w:rsidRPr="00B62920">
        <w:fldChar w:fldCharType="end"/>
      </w:r>
      <w:r w:rsidRPr="00B62920">
        <w:rPr>
          <w:color w:val="000000" w:themeColor="text1"/>
          <w:lang w:val="en-GB"/>
        </w:rPr>
        <w:t xml:space="preserve"> above, at § 74; </w:t>
      </w:r>
      <w:proofErr w:type="spellStart"/>
      <w:r w:rsidRPr="00B62920">
        <w:rPr>
          <w:color w:val="000000" w:themeColor="text1"/>
          <w:lang w:val="en-GB"/>
        </w:rPr>
        <w:t>ECtHR</w:t>
      </w:r>
      <w:proofErr w:type="spellEnd"/>
      <w:r w:rsidRPr="00B62920">
        <w:rPr>
          <w:color w:val="000000" w:themeColor="text1"/>
          <w:lang w:val="en-GB"/>
        </w:rPr>
        <w:t xml:space="preserve">, </w:t>
      </w:r>
      <w:proofErr w:type="spellStart"/>
      <w:r w:rsidRPr="00B62920">
        <w:rPr>
          <w:i/>
          <w:color w:val="000000" w:themeColor="text1"/>
          <w:lang w:val="en-GB"/>
        </w:rPr>
        <w:t>Alpatu</w:t>
      </w:r>
      <w:proofErr w:type="spellEnd"/>
      <w:r w:rsidRPr="00B62920">
        <w:rPr>
          <w:i/>
          <w:color w:val="000000" w:themeColor="text1"/>
          <w:lang w:val="en-GB"/>
        </w:rPr>
        <w:t xml:space="preserve"> </w:t>
      </w:r>
      <w:proofErr w:type="spellStart"/>
      <w:r w:rsidRPr="00B62920">
        <w:rPr>
          <w:i/>
          <w:color w:val="000000" w:themeColor="text1"/>
          <w:lang w:val="en-GB"/>
        </w:rPr>
        <w:t>Israilova</w:t>
      </w:r>
      <w:proofErr w:type="spellEnd"/>
      <w:r w:rsidRPr="00B62920">
        <w:rPr>
          <w:i/>
          <w:color w:val="000000" w:themeColor="text1"/>
          <w:lang w:val="en-GB"/>
        </w:rPr>
        <w:t xml:space="preserve"> v. Russia</w:t>
      </w:r>
      <w:r w:rsidRPr="00B62920">
        <w:rPr>
          <w:color w:val="000000" w:themeColor="text1"/>
          <w:lang w:val="en-GB"/>
        </w:rPr>
        <w:t xml:space="preserve">, no. 15438/05, judgment of 14 March 2013, § 69; see also HRAP, </w:t>
      </w:r>
      <w:r w:rsidRPr="00B62920">
        <w:rPr>
          <w:i/>
          <w:color w:val="000000" w:themeColor="text1"/>
          <w:lang w:val="en-GB"/>
        </w:rPr>
        <w:t>Zdravković</w:t>
      </w:r>
      <w:r w:rsidRPr="00B62920">
        <w:rPr>
          <w:color w:val="000000" w:themeColor="text1"/>
          <w:lang w:val="en-GB"/>
        </w:rPr>
        <w:t xml:space="preserve">, no. 46/08, decision of 17 April 2009, § 41). “It is especially in respect of the latter that a relative may claim directly to be a victim of the authorities’ conduct” (see, among others, </w:t>
      </w:r>
      <w:proofErr w:type="spellStart"/>
      <w:r w:rsidRPr="00B62920">
        <w:rPr>
          <w:color w:val="000000" w:themeColor="text1"/>
          <w:lang w:val="en-GB"/>
        </w:rPr>
        <w:t>ECtHR</w:t>
      </w:r>
      <w:proofErr w:type="spellEnd"/>
      <w:r w:rsidRPr="00B62920">
        <w:rPr>
          <w:color w:val="000000" w:themeColor="text1"/>
          <w:lang w:val="en-GB"/>
        </w:rPr>
        <w:t xml:space="preserve">, </w:t>
      </w:r>
      <w:proofErr w:type="spellStart"/>
      <w:r w:rsidRPr="00B62920">
        <w:rPr>
          <w:i/>
          <w:color w:val="000000" w:themeColor="text1"/>
          <w:lang w:val="en-GB"/>
        </w:rPr>
        <w:t>Er</w:t>
      </w:r>
      <w:proofErr w:type="spellEnd"/>
      <w:r w:rsidRPr="00B62920">
        <w:rPr>
          <w:i/>
          <w:color w:val="000000" w:themeColor="text1"/>
          <w:lang w:val="en-GB"/>
        </w:rPr>
        <w:t xml:space="preserve"> and Others v. Turkey</w:t>
      </w:r>
      <w:r w:rsidRPr="00B62920">
        <w:rPr>
          <w:color w:val="000000" w:themeColor="text1"/>
          <w:lang w:val="en-GB"/>
        </w:rPr>
        <w:t>, no. 23016/04, judgment of 31 July 2012, § 94).</w:t>
      </w:r>
      <w:bookmarkStart w:id="64" w:name="_Ref374623316"/>
      <w:bookmarkEnd w:id="63"/>
    </w:p>
    <w:p w:rsidR="00711F6E" w:rsidRPr="00B62920" w:rsidRDefault="00711F6E" w:rsidP="00711F6E">
      <w:pPr>
        <w:tabs>
          <w:tab w:val="left" w:pos="709"/>
        </w:tabs>
        <w:suppressAutoHyphens/>
        <w:autoSpaceDE w:val="0"/>
        <w:ind w:left="450"/>
        <w:jc w:val="both"/>
        <w:rPr>
          <w:lang w:val="en-GB"/>
        </w:rPr>
      </w:pPr>
    </w:p>
    <w:p w:rsidR="00711F6E" w:rsidRPr="00B62920" w:rsidRDefault="00711F6E" w:rsidP="00711F6E">
      <w:pPr>
        <w:numPr>
          <w:ilvl w:val="0"/>
          <w:numId w:val="2"/>
        </w:numPr>
        <w:tabs>
          <w:tab w:val="clear" w:pos="360"/>
          <w:tab w:val="left" w:pos="709"/>
        </w:tabs>
        <w:suppressAutoHyphens/>
        <w:autoSpaceDE w:val="0"/>
        <w:ind w:left="450" w:hanging="450"/>
        <w:jc w:val="both"/>
        <w:rPr>
          <w:lang w:val="en-GB"/>
        </w:rPr>
      </w:pPr>
      <w:r w:rsidRPr="00B62920">
        <w:rPr>
          <w:color w:val="000000" w:themeColor="text1"/>
          <w:lang w:val="en-GB"/>
        </w:rPr>
        <w:t xml:space="preserve">Lastly, where  </w:t>
      </w:r>
      <w:r w:rsidRPr="00B62920">
        <w:rPr>
          <w:bCs/>
          <w:color w:val="000000" w:themeColor="text1"/>
        </w:rPr>
        <w:t>mental</w:t>
      </w:r>
      <w:r w:rsidRPr="00B62920">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w:t>
      </w:r>
      <w:proofErr w:type="spellStart"/>
      <w:r w:rsidRPr="00B62920">
        <w:rPr>
          <w:color w:val="000000" w:themeColor="text1"/>
          <w:lang w:val="en-GB"/>
        </w:rPr>
        <w:t>ECtHR</w:t>
      </w:r>
      <w:proofErr w:type="spellEnd"/>
      <w:r w:rsidRPr="00B62920">
        <w:rPr>
          <w:color w:val="000000" w:themeColor="text1"/>
          <w:lang w:val="en-GB"/>
        </w:rPr>
        <w:t xml:space="preserve">, </w:t>
      </w:r>
      <w:proofErr w:type="spellStart"/>
      <w:r w:rsidRPr="00B62920">
        <w:rPr>
          <w:i/>
          <w:color w:val="000000" w:themeColor="text1"/>
          <w:lang w:val="en-GB"/>
        </w:rPr>
        <w:t>Gelayevy</w:t>
      </w:r>
      <w:proofErr w:type="spellEnd"/>
      <w:r w:rsidRPr="00B62920">
        <w:rPr>
          <w:i/>
          <w:color w:val="000000" w:themeColor="text1"/>
          <w:lang w:val="en-GB"/>
        </w:rPr>
        <w:t xml:space="preserve"> v. Russia</w:t>
      </w:r>
      <w:r w:rsidRPr="00B62920">
        <w:rPr>
          <w:color w:val="000000" w:themeColor="text1"/>
          <w:lang w:val="en-GB"/>
        </w:rPr>
        <w:t>, no. 20216/07, judgment of 15 July 2010, §§ 147 - 148).</w:t>
      </w:r>
      <w:bookmarkEnd w:id="64"/>
    </w:p>
    <w:p w:rsidR="00711F6E" w:rsidRPr="00B62920" w:rsidRDefault="00711F6E" w:rsidP="00711F6E">
      <w:pPr>
        <w:pStyle w:val="ListParagraph1"/>
        <w:ind w:left="0"/>
        <w:jc w:val="both"/>
        <w:rPr>
          <w:b/>
          <w:color w:val="000000" w:themeColor="text1"/>
        </w:rPr>
      </w:pPr>
    </w:p>
    <w:p w:rsidR="00711F6E" w:rsidRPr="005A3795" w:rsidRDefault="00711F6E" w:rsidP="00711F6E">
      <w:pPr>
        <w:pStyle w:val="ListParagraph1"/>
        <w:numPr>
          <w:ilvl w:val="0"/>
          <w:numId w:val="17"/>
        </w:numPr>
        <w:jc w:val="both"/>
        <w:rPr>
          <w:b/>
          <w:color w:val="000000" w:themeColor="text1"/>
        </w:rPr>
      </w:pPr>
      <w:r w:rsidRPr="00B62920">
        <w:rPr>
          <w:b/>
          <w:color w:val="000000" w:themeColor="text1"/>
        </w:rPr>
        <w:t>T</w:t>
      </w:r>
      <w:r w:rsidRPr="005A3795">
        <w:rPr>
          <w:b/>
          <w:color w:val="000000" w:themeColor="text1"/>
        </w:rPr>
        <w:t xml:space="preserve">he Parties’ submissions </w:t>
      </w:r>
    </w:p>
    <w:p w:rsidR="00711F6E" w:rsidRPr="005A3795" w:rsidRDefault="00711F6E" w:rsidP="00711F6E">
      <w:pPr>
        <w:suppressAutoHyphens/>
        <w:autoSpaceDE w:val="0"/>
        <w:ind w:left="360"/>
        <w:jc w:val="both"/>
        <w:rPr>
          <w:color w:val="000000" w:themeColor="text1"/>
          <w:lang w:val="en-GB"/>
        </w:rPr>
      </w:pPr>
    </w:p>
    <w:p w:rsidR="00711F6E" w:rsidRPr="005A3795"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5A3795">
        <w:rPr>
          <w:color w:val="000000" w:themeColor="text1"/>
          <w:lang w:val="en-GB"/>
        </w:rPr>
        <w:t xml:space="preserve">The complainant alleges that the lack of information and certainty surrounding </w:t>
      </w:r>
      <w:r w:rsidRPr="005A3795">
        <w:rPr>
          <w:bCs/>
          <w:color w:val="000000" w:themeColor="text1"/>
          <w:lang w:val="en-GB"/>
        </w:rPr>
        <w:t>the</w:t>
      </w:r>
      <w:r w:rsidRPr="005A3795">
        <w:rPr>
          <w:color w:val="000000" w:themeColor="text1"/>
          <w:lang w:val="en-GB"/>
        </w:rPr>
        <w:t xml:space="preserve"> </w:t>
      </w:r>
      <w:r w:rsidR="009C4248" w:rsidRPr="005A3795">
        <w:rPr>
          <w:lang w:val="en-GB"/>
        </w:rPr>
        <w:t>abduction</w:t>
      </w:r>
      <w:r w:rsidR="00B90839" w:rsidRPr="005A3795">
        <w:rPr>
          <w:lang w:val="en-GB"/>
        </w:rPr>
        <w:t xml:space="preserve"> and </w:t>
      </w:r>
      <w:r w:rsidR="00B34096" w:rsidRPr="005A3795">
        <w:rPr>
          <w:lang w:val="en-GB"/>
        </w:rPr>
        <w:t xml:space="preserve">disappearance of Mrs Vera </w:t>
      </w:r>
      <w:proofErr w:type="spellStart"/>
      <w:r w:rsidR="00B34096" w:rsidRPr="005A3795">
        <w:rPr>
          <w:lang w:val="en-GB"/>
        </w:rPr>
        <w:t>Škripac</w:t>
      </w:r>
      <w:proofErr w:type="spellEnd"/>
      <w:r w:rsidRPr="005A3795">
        <w:rPr>
          <w:color w:val="000000" w:themeColor="text1"/>
        </w:rPr>
        <w:t>,</w:t>
      </w:r>
      <w:r w:rsidR="00DD33CB" w:rsidRPr="005A3795">
        <w:rPr>
          <w:color w:val="000000" w:themeColor="text1"/>
        </w:rPr>
        <w:t xml:space="preserve"> </w:t>
      </w:r>
      <w:r w:rsidRPr="005A3795">
        <w:rPr>
          <w:color w:val="000000" w:themeColor="text1"/>
          <w:lang w:val="en-GB"/>
        </w:rPr>
        <w:t xml:space="preserve">particularly because of UNMIK’s failure to properly investigate </w:t>
      </w:r>
      <w:r w:rsidR="00A86097">
        <w:t>her</w:t>
      </w:r>
      <w:r w:rsidRPr="005A3795">
        <w:rPr>
          <w:color w:val="000000" w:themeColor="text1"/>
          <w:lang w:val="en-GB"/>
        </w:rPr>
        <w:t xml:space="preserve"> disappearance</w:t>
      </w:r>
      <w:r w:rsidR="00874A40" w:rsidRPr="005A3795">
        <w:rPr>
          <w:color w:val="000000" w:themeColor="text1"/>
          <w:lang w:val="en-GB"/>
        </w:rPr>
        <w:t xml:space="preserve"> caused mental suffering to </w:t>
      </w:r>
      <w:r w:rsidR="00B90839" w:rsidRPr="005A3795">
        <w:rPr>
          <w:color w:val="000000" w:themeColor="text1"/>
          <w:lang w:val="en-GB"/>
        </w:rPr>
        <w:t>him and his</w:t>
      </w:r>
      <w:r w:rsidRPr="005A3795">
        <w:rPr>
          <w:color w:val="000000" w:themeColor="text1"/>
          <w:lang w:val="en-GB"/>
        </w:rPr>
        <w:t xml:space="preserve"> family.</w:t>
      </w:r>
    </w:p>
    <w:p w:rsidR="00B34096" w:rsidRPr="005A3795" w:rsidRDefault="00B34096" w:rsidP="00B34096">
      <w:pPr>
        <w:tabs>
          <w:tab w:val="num" w:pos="450"/>
          <w:tab w:val="left" w:pos="709"/>
        </w:tabs>
        <w:suppressAutoHyphens/>
        <w:autoSpaceDE w:val="0"/>
        <w:ind w:left="360"/>
        <w:jc w:val="both"/>
        <w:rPr>
          <w:color w:val="000000"/>
          <w:lang w:val="en-GB"/>
        </w:rPr>
      </w:pPr>
    </w:p>
    <w:p w:rsidR="00B34096" w:rsidRPr="005A3795" w:rsidRDefault="00B34096" w:rsidP="00B34096">
      <w:pPr>
        <w:numPr>
          <w:ilvl w:val="0"/>
          <w:numId w:val="2"/>
        </w:numPr>
        <w:tabs>
          <w:tab w:val="num" w:pos="450"/>
          <w:tab w:val="left" w:pos="709"/>
        </w:tabs>
        <w:suppressAutoHyphens/>
        <w:autoSpaceDE w:val="0"/>
        <w:jc w:val="both"/>
        <w:rPr>
          <w:color w:val="000000"/>
          <w:lang w:val="en-GB"/>
        </w:rPr>
      </w:pPr>
      <w:r w:rsidRPr="005A3795">
        <w:rPr>
          <w:color w:val="000000"/>
          <w:lang w:val="en-GB" w:eastAsia="ar-SA"/>
        </w:rPr>
        <w:t xml:space="preserve">With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 </w:t>
      </w:r>
    </w:p>
    <w:p w:rsidR="00B34096" w:rsidRPr="005A3795" w:rsidRDefault="00B34096" w:rsidP="00B34096">
      <w:pPr>
        <w:pStyle w:val="ListParagraph"/>
        <w:rPr>
          <w:color w:val="000000"/>
          <w:lang w:val="en-GB"/>
        </w:rPr>
      </w:pPr>
    </w:p>
    <w:p w:rsidR="00B34096" w:rsidRPr="005A3795" w:rsidRDefault="00B34096" w:rsidP="00B34096">
      <w:pPr>
        <w:numPr>
          <w:ilvl w:val="0"/>
          <w:numId w:val="2"/>
        </w:numPr>
        <w:tabs>
          <w:tab w:val="num" w:pos="450"/>
          <w:tab w:val="left" w:pos="709"/>
        </w:tabs>
        <w:suppressAutoHyphens/>
        <w:autoSpaceDE w:val="0"/>
        <w:jc w:val="both"/>
        <w:rPr>
          <w:color w:val="000000"/>
          <w:lang w:val="en-GB"/>
        </w:rPr>
      </w:pPr>
      <w:r w:rsidRPr="005A3795">
        <w:rPr>
          <w:color w:val="000000"/>
          <w:lang w:val="en-GB" w:eastAsia="ar-SA"/>
        </w:rPr>
        <w:t>Concerning the case at issue, the SRSG states that the complainant did not witness the disappearance of his mother. With respect to the conduct of the authorities when addressing the families’ enquiries, the SRSG states that “there are no allegations made by the C</w:t>
      </w:r>
      <w:r w:rsidR="009C204D" w:rsidRPr="005A3795">
        <w:rPr>
          <w:color w:val="000000"/>
          <w:lang w:val="en-GB" w:eastAsia="ar-SA"/>
        </w:rPr>
        <w:t>omplainant</w:t>
      </w:r>
      <w:r w:rsidRPr="005A3795">
        <w:rPr>
          <w:color w:val="000000"/>
          <w:lang w:val="en-GB" w:eastAsia="ar-SA"/>
        </w:rPr>
        <w:t xml:space="preserve"> of any bad faith on the</w:t>
      </w:r>
      <w:r w:rsidR="009C204D" w:rsidRPr="005A3795">
        <w:rPr>
          <w:color w:val="000000"/>
          <w:lang w:val="en-GB" w:eastAsia="ar-SA"/>
        </w:rPr>
        <w:t xml:space="preserve"> part of UNMIK personnel</w:t>
      </w:r>
      <w:r w:rsidRPr="005A3795">
        <w:rPr>
          <w:color w:val="000000"/>
          <w:lang w:val="en-GB" w:eastAsia="ar-SA"/>
        </w:rPr>
        <w:t xml:space="preserve"> involved with</w:t>
      </w:r>
      <w:r w:rsidR="009C204D" w:rsidRPr="005A3795">
        <w:rPr>
          <w:color w:val="000000"/>
          <w:lang w:val="en-GB" w:eastAsia="ar-SA"/>
        </w:rPr>
        <w:t xml:space="preserve"> the matter, nor of any attitude</w:t>
      </w:r>
      <w:r w:rsidRPr="005A3795">
        <w:rPr>
          <w:color w:val="000000"/>
          <w:lang w:val="en-GB" w:eastAsia="ar-SA"/>
        </w:rPr>
        <w:t xml:space="preserve"> by UNMIK that would have evidenced any disregard for the seriousness of the matter or the emotions of the Complainant”. The SRSG submits that “there is no</w:t>
      </w:r>
      <w:r w:rsidR="009C204D" w:rsidRPr="005A3795">
        <w:rPr>
          <w:color w:val="000000"/>
          <w:lang w:val="en-GB" w:eastAsia="ar-SA"/>
        </w:rPr>
        <w:t xml:space="preserve"> documentation or claim </w:t>
      </w:r>
      <w:r w:rsidRPr="005A3795">
        <w:rPr>
          <w:color w:val="000000"/>
          <w:lang w:val="en-GB" w:eastAsia="ar-SA"/>
        </w:rPr>
        <w:t>that UNMIK</w:t>
      </w:r>
      <w:r w:rsidR="009C204D" w:rsidRPr="005A3795">
        <w:rPr>
          <w:color w:val="000000"/>
          <w:lang w:val="en-GB" w:eastAsia="ar-SA"/>
        </w:rPr>
        <w:t xml:space="preserve"> acted inappropriately</w:t>
      </w:r>
      <w:r w:rsidRPr="005A3795">
        <w:rPr>
          <w:color w:val="000000"/>
          <w:lang w:val="en-GB" w:eastAsia="ar-SA"/>
        </w:rPr>
        <w:t xml:space="preserve"> when responding </w:t>
      </w:r>
      <w:r w:rsidR="009C204D" w:rsidRPr="005A3795">
        <w:rPr>
          <w:color w:val="000000"/>
          <w:lang w:val="en-GB" w:eastAsia="ar-SA"/>
        </w:rPr>
        <w:t xml:space="preserve">to enquiries of the Complainant or confronted the Complainant with an attitude of the type required to finding a </w:t>
      </w:r>
      <w:r w:rsidRPr="005A3795">
        <w:rPr>
          <w:color w:val="000000"/>
          <w:lang w:val="en-GB" w:eastAsia="ar-SA"/>
        </w:rPr>
        <w:t xml:space="preserve">violation of Article 3”. </w:t>
      </w:r>
    </w:p>
    <w:p w:rsidR="00B34096" w:rsidRPr="005A3795" w:rsidRDefault="00B34096" w:rsidP="00B34096">
      <w:pPr>
        <w:pStyle w:val="ListParagraph"/>
        <w:rPr>
          <w:color w:val="000000"/>
          <w:lang w:val="en-GB"/>
        </w:rPr>
      </w:pPr>
    </w:p>
    <w:p w:rsidR="00B34096" w:rsidRPr="005A3795" w:rsidRDefault="00B34096" w:rsidP="00B34096">
      <w:pPr>
        <w:numPr>
          <w:ilvl w:val="0"/>
          <w:numId w:val="2"/>
        </w:numPr>
        <w:tabs>
          <w:tab w:val="num" w:pos="450"/>
          <w:tab w:val="left" w:pos="709"/>
        </w:tabs>
        <w:suppressAutoHyphens/>
        <w:autoSpaceDE w:val="0"/>
        <w:jc w:val="both"/>
        <w:rPr>
          <w:color w:val="000000"/>
          <w:lang w:val="en-GB"/>
        </w:rPr>
      </w:pPr>
      <w:r w:rsidRPr="005A3795">
        <w:rPr>
          <w:color w:val="000000"/>
          <w:lang w:val="en-GB" w:eastAsia="ar-SA"/>
        </w:rPr>
        <w:t>The SRSG does not dispute the mental anguish a</w:t>
      </w:r>
      <w:r w:rsidR="00403B5F">
        <w:rPr>
          <w:color w:val="000000"/>
          <w:lang w:val="en-GB" w:eastAsia="ar-SA"/>
        </w:rPr>
        <w:t>nd suffering of the complainant</w:t>
      </w:r>
      <w:r w:rsidRPr="005A3795">
        <w:rPr>
          <w:color w:val="000000"/>
          <w:lang w:val="en-GB" w:eastAsia="ar-SA"/>
        </w:rPr>
        <w:t>; however he argues that this is not attributable to UNMIK as it is rather “a result of the inherent suffering caused by the disappearance</w:t>
      </w:r>
      <w:r w:rsidR="009C204D" w:rsidRPr="005A3795">
        <w:rPr>
          <w:color w:val="000000"/>
          <w:lang w:val="en-GB" w:eastAsia="ar-SA"/>
        </w:rPr>
        <w:t xml:space="preserve"> and probable death</w:t>
      </w:r>
      <w:r w:rsidRPr="005A3795">
        <w:rPr>
          <w:color w:val="000000"/>
          <w:lang w:val="en-GB" w:eastAsia="ar-SA"/>
        </w:rPr>
        <w:t xml:space="preserve"> of a close family member”. He states that, in this sense, the European Court has held that the suffering of family members must have a “character distinct” from the emotional</w:t>
      </w:r>
      <w:r w:rsidRPr="005A3795">
        <w:rPr>
          <w:lang w:val="en-GB"/>
        </w:rPr>
        <w:t xml:space="preserve"> distress which may be regarded as inevitably caused to the relatives of a victim of a serious human rights violation. </w:t>
      </w:r>
    </w:p>
    <w:p w:rsidR="00B34096" w:rsidRPr="005A3795" w:rsidRDefault="00B34096" w:rsidP="00B34096">
      <w:pPr>
        <w:pStyle w:val="ListParagraph"/>
        <w:rPr>
          <w:color w:val="000000"/>
          <w:lang w:val="en-GB"/>
        </w:rPr>
      </w:pPr>
    </w:p>
    <w:p w:rsidR="00B34096" w:rsidRPr="004F4EBD" w:rsidRDefault="00B34096" w:rsidP="007C6406">
      <w:pPr>
        <w:numPr>
          <w:ilvl w:val="0"/>
          <w:numId w:val="2"/>
        </w:numPr>
        <w:tabs>
          <w:tab w:val="num" w:pos="450"/>
          <w:tab w:val="left" w:pos="709"/>
        </w:tabs>
        <w:suppressAutoHyphens/>
        <w:autoSpaceDE w:val="0"/>
        <w:jc w:val="both"/>
        <w:rPr>
          <w:color w:val="000000"/>
          <w:lang w:val="en-GB"/>
        </w:rPr>
      </w:pPr>
      <w:r w:rsidRPr="005A3795">
        <w:rPr>
          <w:color w:val="000000"/>
          <w:lang w:val="en-GB"/>
        </w:rPr>
        <w:t>Therefore, according to the SRSG, this part of the complaint should also be rejected by the Panel.</w:t>
      </w:r>
    </w:p>
    <w:p w:rsidR="00711F6E" w:rsidRPr="00B62920" w:rsidRDefault="00711F6E" w:rsidP="00711F6E">
      <w:pPr>
        <w:pStyle w:val="ListParagraph"/>
        <w:tabs>
          <w:tab w:val="num" w:pos="450"/>
        </w:tabs>
        <w:autoSpaceDE w:val="0"/>
        <w:ind w:left="450" w:hanging="450"/>
        <w:jc w:val="both"/>
        <w:rPr>
          <w:color w:val="000000" w:themeColor="text1"/>
          <w:lang w:val="en-GB"/>
        </w:rPr>
      </w:pPr>
    </w:p>
    <w:p w:rsidR="00711F6E" w:rsidRPr="00B62920" w:rsidRDefault="00711F6E" w:rsidP="00711F6E">
      <w:pPr>
        <w:pStyle w:val="ListParagraph1"/>
        <w:numPr>
          <w:ilvl w:val="0"/>
          <w:numId w:val="17"/>
        </w:numPr>
        <w:jc w:val="both"/>
        <w:rPr>
          <w:b/>
          <w:color w:val="000000" w:themeColor="text1"/>
        </w:rPr>
      </w:pPr>
      <w:r w:rsidRPr="00B62920">
        <w:rPr>
          <w:b/>
          <w:color w:val="000000" w:themeColor="text1"/>
        </w:rPr>
        <w:t xml:space="preserve">The Panel’s assessment </w:t>
      </w:r>
    </w:p>
    <w:p w:rsidR="00711F6E" w:rsidRPr="00B62920" w:rsidRDefault="00711F6E" w:rsidP="00711F6E">
      <w:pPr>
        <w:pStyle w:val="ListParagraph1"/>
        <w:ind w:left="0"/>
        <w:jc w:val="both"/>
        <w:rPr>
          <w:b/>
          <w:color w:val="000000" w:themeColor="text1"/>
        </w:rPr>
      </w:pPr>
    </w:p>
    <w:p w:rsidR="00711F6E" w:rsidRPr="00B62920" w:rsidRDefault="00711F6E" w:rsidP="00711F6E">
      <w:pPr>
        <w:pStyle w:val="ListParagraph1"/>
        <w:numPr>
          <w:ilvl w:val="0"/>
          <w:numId w:val="16"/>
        </w:numPr>
        <w:ind w:left="360"/>
        <w:jc w:val="both"/>
        <w:rPr>
          <w:b/>
          <w:color w:val="000000" w:themeColor="text1"/>
        </w:rPr>
      </w:pPr>
      <w:r w:rsidRPr="00B62920">
        <w:rPr>
          <w:i/>
          <w:color w:val="000000" w:themeColor="text1"/>
          <w:lang w:eastAsia="en-US"/>
        </w:rPr>
        <w:t xml:space="preserve"> General principles concerning the obligation under Article 3</w:t>
      </w:r>
    </w:p>
    <w:p w:rsidR="00711F6E" w:rsidRPr="00B62920" w:rsidRDefault="00711F6E" w:rsidP="00711F6E">
      <w:pPr>
        <w:autoSpaceDE w:val="0"/>
        <w:jc w:val="both"/>
        <w:rPr>
          <w:color w:val="000000" w:themeColor="text1"/>
          <w:lang w:val="en-GB" w:eastAsia="ar-SA"/>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65" w:name="_Ref401074681"/>
      <w:r w:rsidRPr="00B62920">
        <w:rPr>
          <w:color w:val="000000" w:themeColor="text1"/>
          <w:lang w:val="en-GB"/>
        </w:rPr>
        <w:t>Like Article 2, Article 3 of the ECHR enshrines one of the most fundamental values in democratic societies (</w:t>
      </w:r>
      <w:r w:rsidR="001459F6" w:rsidRPr="00B62920">
        <w:rPr>
          <w:color w:val="000000" w:themeColor="text1"/>
          <w:lang w:val="en-GB"/>
        </w:rPr>
        <w:t xml:space="preserve">see </w:t>
      </w:r>
      <w:proofErr w:type="spellStart"/>
      <w:r w:rsidRPr="00B62920">
        <w:rPr>
          <w:color w:val="000000" w:themeColor="text1"/>
          <w:lang w:val="en-GB"/>
        </w:rPr>
        <w:t>ECtHR</w:t>
      </w:r>
      <w:proofErr w:type="spellEnd"/>
      <w:r w:rsidRPr="00B62920">
        <w:rPr>
          <w:color w:val="000000" w:themeColor="text1"/>
          <w:lang w:val="en-GB"/>
        </w:rPr>
        <w:t xml:space="preserve">, </w:t>
      </w:r>
      <w:proofErr w:type="spellStart"/>
      <w:r w:rsidRPr="00B62920">
        <w:rPr>
          <w:i/>
          <w:color w:val="000000" w:themeColor="text1"/>
          <w:lang w:val="en-GB"/>
        </w:rPr>
        <w:t>Talat</w:t>
      </w:r>
      <w:proofErr w:type="spellEnd"/>
      <w:r w:rsidRPr="00B62920">
        <w:rPr>
          <w:i/>
          <w:color w:val="000000" w:themeColor="text1"/>
          <w:lang w:val="en-GB"/>
        </w:rPr>
        <w:t xml:space="preserve"> </w:t>
      </w:r>
      <w:proofErr w:type="spellStart"/>
      <w:r w:rsidRPr="00B62920">
        <w:rPr>
          <w:i/>
          <w:color w:val="000000" w:themeColor="text1"/>
          <w:lang w:val="en-GB"/>
        </w:rPr>
        <w:t>Tepe</w:t>
      </w:r>
      <w:proofErr w:type="spellEnd"/>
      <w:r w:rsidRPr="00B62920">
        <w:rPr>
          <w:i/>
          <w:color w:val="000000" w:themeColor="text1"/>
          <w:lang w:val="en-GB"/>
        </w:rPr>
        <w:t xml:space="preserve"> v. Turkey</w:t>
      </w:r>
      <w:r w:rsidRPr="00B62920">
        <w:rPr>
          <w:color w:val="000000" w:themeColor="text1"/>
          <w:lang w:val="en-GB"/>
        </w:rPr>
        <w:t xml:space="preserve">, no. 31247/96, 21 December 2004, § 47; </w:t>
      </w:r>
      <w:proofErr w:type="spellStart"/>
      <w:r w:rsidRPr="00B62920">
        <w:rPr>
          <w:color w:val="000000" w:themeColor="text1"/>
          <w:lang w:val="en-GB"/>
        </w:rPr>
        <w:t>ECtHR</w:t>
      </w:r>
      <w:proofErr w:type="spellEnd"/>
      <w:r w:rsidRPr="00B62920">
        <w:rPr>
          <w:color w:val="000000" w:themeColor="text1"/>
          <w:lang w:val="en-GB"/>
        </w:rPr>
        <w:t xml:space="preserve"> [GC], </w:t>
      </w:r>
      <w:proofErr w:type="spellStart"/>
      <w:r w:rsidRPr="00B62920">
        <w:rPr>
          <w:i/>
          <w:color w:val="000000" w:themeColor="text1"/>
          <w:lang w:val="en-GB"/>
        </w:rPr>
        <w:t>Ilaşcu</w:t>
      </w:r>
      <w:proofErr w:type="spellEnd"/>
      <w:r w:rsidRPr="00B62920">
        <w:rPr>
          <w:i/>
          <w:color w:val="000000" w:themeColor="text1"/>
          <w:lang w:val="en-GB"/>
        </w:rPr>
        <w:t xml:space="preserve"> and Others v. Moldova and Russia</w:t>
      </w:r>
      <w:r w:rsidRPr="00B62920">
        <w:rPr>
          <w:color w:val="000000" w:themeColor="text1"/>
          <w:lang w:val="en-GB"/>
        </w:rPr>
        <w:t xml:space="preserve">, no. 48787/99, judgment of 8 July 2004, </w:t>
      </w:r>
      <w:r w:rsidRPr="00B62920">
        <w:rPr>
          <w:i/>
          <w:color w:val="000000" w:themeColor="text1"/>
          <w:lang w:val="en-GB"/>
        </w:rPr>
        <w:t>ECHR</w:t>
      </w:r>
      <w:r w:rsidRPr="00B62920">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65"/>
    </w:p>
    <w:p w:rsidR="00711F6E" w:rsidRPr="00B62920" w:rsidRDefault="00711F6E" w:rsidP="00711F6E">
      <w:pPr>
        <w:tabs>
          <w:tab w:val="num" w:pos="450"/>
        </w:tabs>
        <w:suppressAutoHyphens/>
        <w:autoSpaceDE w:val="0"/>
        <w:ind w:left="450" w:hanging="450"/>
        <w:jc w:val="bot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B62920">
        <w:rPr>
          <w:color w:val="000000" w:themeColor="text1"/>
          <w:lang w:val="en-GB"/>
        </w:rPr>
        <w:t>IACtHR</w:t>
      </w:r>
      <w:proofErr w:type="spellEnd"/>
      <w:r w:rsidRPr="00B62920">
        <w:rPr>
          <w:color w:val="000000" w:themeColor="text1"/>
          <w:lang w:val="en-GB"/>
        </w:rPr>
        <w:t xml:space="preserve">, </w:t>
      </w:r>
      <w:proofErr w:type="spellStart"/>
      <w:r w:rsidRPr="00B62920">
        <w:rPr>
          <w:i/>
          <w:color w:val="000000" w:themeColor="text1"/>
          <w:lang w:val="en-GB"/>
        </w:rPr>
        <w:t>Velásquez</w:t>
      </w:r>
      <w:proofErr w:type="spellEnd"/>
      <w:r w:rsidRPr="00B62920">
        <w:rPr>
          <w:i/>
          <w:color w:val="000000" w:themeColor="text1"/>
          <w:lang w:val="en-GB"/>
        </w:rPr>
        <w:t>-Rodríguez v. Honduras</w:t>
      </w:r>
      <w:r w:rsidRPr="00B62920">
        <w:rPr>
          <w:color w:val="000000" w:themeColor="text1"/>
          <w:lang w:val="en-GB"/>
        </w:rPr>
        <w:t xml:space="preserve">, cited in § </w:t>
      </w:r>
      <w:r w:rsidR="00383CDF" w:rsidRPr="00B62920">
        <w:fldChar w:fldCharType="begin"/>
      </w:r>
      <w:r w:rsidR="00383CDF" w:rsidRPr="00B62920">
        <w:rPr>
          <w:color w:val="000000" w:themeColor="text1"/>
          <w:lang w:val="en-GB"/>
        </w:rPr>
        <w:instrText xml:space="preserve"> REF _Ref412809772 \r \h </w:instrText>
      </w:r>
      <w:r w:rsidR="00E84F72" w:rsidRPr="00B62920">
        <w:instrText xml:space="preserve"> \* MERGEFORMAT </w:instrText>
      </w:r>
      <w:r w:rsidR="00383CDF" w:rsidRPr="00B62920">
        <w:fldChar w:fldCharType="separate"/>
      </w:r>
      <w:r w:rsidR="00C60385">
        <w:rPr>
          <w:color w:val="000000" w:themeColor="text1"/>
          <w:lang w:val="en-GB"/>
        </w:rPr>
        <w:t>72</w:t>
      </w:r>
      <w:r w:rsidR="00383CDF" w:rsidRPr="00B62920">
        <w:fldChar w:fldCharType="end"/>
      </w:r>
      <w:r w:rsidR="00383CDF" w:rsidRPr="00B62920">
        <w:t xml:space="preserve"> </w:t>
      </w:r>
      <w:r w:rsidRPr="00B62920">
        <w:rPr>
          <w:color w:val="000000" w:themeColor="text1"/>
          <w:lang w:val="en-GB"/>
        </w:rPr>
        <w:t xml:space="preserve">above, at § 150). </w:t>
      </w:r>
    </w:p>
    <w:p w:rsidR="00711F6E" w:rsidRPr="00B62920"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B62920" w:rsidRDefault="00711F6E" w:rsidP="00711F6E">
      <w:pPr>
        <w:pStyle w:val="ListParagraph"/>
        <w:tabs>
          <w:tab w:val="num" w:pos="450"/>
        </w:tabs>
        <w:ind w:left="450" w:hanging="450"/>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62920">
        <w:rPr>
          <w:color w:val="000000" w:themeColor="text1"/>
          <w:lang w:val="en-GB"/>
        </w:rPr>
        <w:t xml:space="preserve">The HRC has also recognised disappearances as a serious violation of human rights. In its decision of 21 July 1983, in the case </w:t>
      </w:r>
      <w:proofErr w:type="spellStart"/>
      <w:r w:rsidRPr="00B62920">
        <w:rPr>
          <w:i/>
          <w:color w:val="000000" w:themeColor="text1"/>
          <w:lang w:val="en-GB"/>
        </w:rPr>
        <w:t>Quinteros</w:t>
      </w:r>
      <w:proofErr w:type="spellEnd"/>
      <w:r w:rsidRPr="00B62920">
        <w:rPr>
          <w:i/>
          <w:color w:val="000000" w:themeColor="text1"/>
          <w:lang w:val="en-GB"/>
        </w:rPr>
        <w:t xml:space="preserve"> v. </w:t>
      </w:r>
      <w:proofErr w:type="spellStart"/>
      <w:r w:rsidRPr="00B62920">
        <w:rPr>
          <w:i/>
          <w:color w:val="000000" w:themeColor="text1"/>
          <w:lang w:val="en-GB"/>
        </w:rPr>
        <w:t>Urugay</w:t>
      </w:r>
      <w:proofErr w:type="spellEnd"/>
      <w:r w:rsidRPr="00B62920">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B62920">
        <w:rPr>
          <w:i/>
          <w:color w:val="000000" w:themeColor="text1"/>
          <w:lang w:val="en-GB"/>
        </w:rPr>
        <w:t>Mojica v. Dominican Republic</w:t>
      </w:r>
      <w:r w:rsidRPr="00B62920">
        <w:rPr>
          <w:color w:val="000000" w:themeColor="text1"/>
          <w:lang w:val="en-GB"/>
        </w:rPr>
        <w:t xml:space="preserve">, the HRC has deemed that “the disappearance of persons is inseparably linked to treatment that amounts to a violation of article 7 </w:t>
      </w:r>
      <w:r w:rsidRPr="00B62920">
        <w:rPr>
          <w:color w:val="000000" w:themeColor="text1"/>
          <w:lang w:val="en-GB"/>
        </w:rPr>
        <w:sym w:font="Symbol" w:char="F05B"/>
      </w:r>
      <w:r w:rsidRPr="00B62920">
        <w:rPr>
          <w:color w:val="000000" w:themeColor="text1"/>
          <w:lang w:val="en-GB"/>
        </w:rPr>
        <w:t>of the Covenant</w:t>
      </w:r>
      <w:r w:rsidRPr="00B62920">
        <w:rPr>
          <w:color w:val="000000" w:themeColor="text1"/>
          <w:lang w:val="en-GB"/>
        </w:rPr>
        <w:sym w:font="Symbol" w:char="F05D"/>
      </w:r>
      <w:r w:rsidRPr="00B62920">
        <w:rPr>
          <w:color w:val="000000" w:themeColor="text1"/>
          <w:lang w:val="en-GB"/>
        </w:rPr>
        <w:t xml:space="preserve">”, also prohibiting torture, inhumane or degrading treatment and punishment (see </w:t>
      </w:r>
      <w:r w:rsidRPr="005A3795">
        <w:rPr>
          <w:color w:val="000000" w:themeColor="text1"/>
          <w:lang w:val="en-GB"/>
        </w:rPr>
        <w:t xml:space="preserve">HRC, </w:t>
      </w:r>
      <w:r w:rsidRPr="005A3795">
        <w:rPr>
          <w:bCs/>
          <w:color w:val="000000" w:themeColor="text1"/>
          <w:lang w:val="en-GB"/>
        </w:rPr>
        <w:t xml:space="preserve">Communication No. 449/1991, U.N. Doc. CCPR/C/51/D/449/1991 (1994), </w:t>
      </w:r>
      <w:r w:rsidRPr="005A3795">
        <w:rPr>
          <w:color w:val="000000" w:themeColor="text1"/>
          <w:lang w:val="en-GB"/>
        </w:rPr>
        <w:t>§ 5.7).</w:t>
      </w:r>
    </w:p>
    <w:p w:rsidR="00711F6E" w:rsidRPr="005A3795" w:rsidRDefault="00711F6E" w:rsidP="00711F6E">
      <w:pPr>
        <w:pStyle w:val="ListParagraph"/>
        <w:tabs>
          <w:tab w:val="num" w:pos="450"/>
        </w:tabs>
        <w:ind w:left="450" w:hanging="450"/>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66" w:name="_Ref374623221"/>
      <w:r w:rsidRPr="005A3795">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5A3795">
        <w:rPr>
          <w:color w:val="000000" w:themeColor="text1"/>
          <w:lang w:val="en-GB"/>
        </w:rPr>
        <w:sym w:font="Symbol" w:char="F05B"/>
      </w:r>
      <w:r w:rsidRPr="005A3795">
        <w:rPr>
          <w:color w:val="000000" w:themeColor="text1"/>
          <w:lang w:val="en-GB"/>
        </w:rPr>
        <w:t>family member</w:t>
      </w:r>
      <w:r w:rsidRPr="005A3795">
        <w:rPr>
          <w:color w:val="000000" w:themeColor="text1"/>
          <w:lang w:val="en-GB"/>
        </w:rPr>
        <w:sym w:font="Symbol" w:char="F05D"/>
      </w:r>
      <w:r w:rsidRPr="005A3795">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w:t>
      </w:r>
      <w:r w:rsidR="000B1FB4" w:rsidRPr="005A3795">
        <w:rPr>
          <w:color w:val="000000" w:themeColor="text1"/>
          <w:lang w:val="en-GB"/>
        </w:rPr>
        <w:t>responded to those enquiries”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Basayeva</w:t>
      </w:r>
      <w:proofErr w:type="spellEnd"/>
      <w:r w:rsidRPr="005A3795">
        <w:rPr>
          <w:i/>
          <w:color w:val="000000" w:themeColor="text1"/>
          <w:lang w:val="en-GB"/>
        </w:rPr>
        <w:t xml:space="preserve"> and Others v. Russia</w:t>
      </w:r>
      <w:r w:rsidRPr="005A3795">
        <w:rPr>
          <w:color w:val="000000" w:themeColor="text1"/>
          <w:lang w:val="en-GB"/>
        </w:rPr>
        <w:t xml:space="preserve">, nos. 15441/05 and 20731/04, judgment of 28 May 2009, § 159;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Er</w:t>
      </w:r>
      <w:proofErr w:type="spellEnd"/>
      <w:r w:rsidRPr="005A3795">
        <w:rPr>
          <w:i/>
          <w:color w:val="000000" w:themeColor="text1"/>
          <w:lang w:val="en-GB"/>
        </w:rPr>
        <w:t xml:space="preserve"> and Others v. Turkey</w:t>
      </w:r>
      <w:r w:rsidRPr="005A3795">
        <w:rPr>
          <w:color w:val="000000" w:themeColor="text1"/>
          <w:lang w:val="en-GB"/>
        </w:rPr>
        <w:t xml:space="preserve">, cited in § </w:t>
      </w:r>
      <w:r w:rsidR="009C4248" w:rsidRPr="005A3795">
        <w:t>114</w:t>
      </w:r>
      <w:r w:rsidRPr="005A3795">
        <w:rPr>
          <w:color w:val="000000" w:themeColor="text1"/>
          <w:lang w:val="en-GB"/>
        </w:rPr>
        <w:t xml:space="preserve"> above, at § 94).</w:t>
      </w:r>
      <w:bookmarkEnd w:id="66"/>
    </w:p>
    <w:p w:rsidR="00711F6E" w:rsidRPr="005A3795" w:rsidRDefault="00711F6E" w:rsidP="00711F6E">
      <w:pPr>
        <w:tabs>
          <w:tab w:val="num" w:pos="450"/>
        </w:tabs>
        <w:suppressAutoHyphens/>
        <w:autoSpaceDE w:val="0"/>
        <w:ind w:left="450" w:hanging="450"/>
        <w:jc w:val="both"/>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Er</w:t>
      </w:r>
      <w:proofErr w:type="spellEnd"/>
      <w:r w:rsidRPr="005A3795">
        <w:rPr>
          <w:i/>
          <w:color w:val="000000" w:themeColor="text1"/>
          <w:lang w:val="en-GB"/>
        </w:rPr>
        <w:t xml:space="preserve"> and Others v. Turkey,</w:t>
      </w:r>
      <w:r w:rsidRPr="005A3795">
        <w:rPr>
          <w:color w:val="000000" w:themeColor="text1"/>
          <w:lang w:val="en-GB"/>
        </w:rPr>
        <w:t xml:space="preserve"> cited above, § 96;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Osmanoğlu</w:t>
      </w:r>
      <w:proofErr w:type="spellEnd"/>
      <w:r w:rsidRPr="005A3795">
        <w:rPr>
          <w:i/>
          <w:color w:val="000000" w:themeColor="text1"/>
          <w:lang w:val="en-GB"/>
        </w:rPr>
        <w:t xml:space="preserve"> v. Turkey,</w:t>
      </w:r>
      <w:r w:rsidRPr="005A3795">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w:t>
      </w:r>
      <w:r w:rsidR="00F20D96" w:rsidRPr="005A3795">
        <w:rPr>
          <w:color w:val="000000" w:themeColor="text1"/>
          <w:lang w:val="en-GB"/>
        </w:rPr>
        <w:t xml:space="preserve">see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Salakhov</w:t>
      </w:r>
      <w:proofErr w:type="spellEnd"/>
      <w:r w:rsidRPr="005A3795">
        <w:rPr>
          <w:i/>
          <w:color w:val="000000" w:themeColor="text1"/>
          <w:lang w:val="en-GB"/>
        </w:rPr>
        <w:t xml:space="preserve"> and </w:t>
      </w:r>
      <w:proofErr w:type="spellStart"/>
      <w:r w:rsidRPr="005A3795">
        <w:rPr>
          <w:i/>
          <w:color w:val="000000" w:themeColor="text1"/>
          <w:lang w:val="en-GB"/>
        </w:rPr>
        <w:t>Islyamova</w:t>
      </w:r>
      <w:proofErr w:type="spellEnd"/>
      <w:r w:rsidRPr="005A3795">
        <w:rPr>
          <w:i/>
          <w:color w:val="000000" w:themeColor="text1"/>
          <w:lang w:val="en-GB"/>
        </w:rPr>
        <w:t xml:space="preserve"> v. Ukraine,</w:t>
      </w:r>
      <w:r w:rsidRPr="005A3795">
        <w:rPr>
          <w:color w:val="000000" w:themeColor="text1"/>
          <w:lang w:val="en-GB"/>
        </w:rPr>
        <w:t xml:space="preserve"> no. 28005/08, judgment of 14 March 2013, § 201).</w:t>
      </w:r>
    </w:p>
    <w:p w:rsidR="00711F6E" w:rsidRPr="005A3795" w:rsidRDefault="00711F6E" w:rsidP="00711F6E">
      <w:pPr>
        <w:tabs>
          <w:tab w:val="num" w:pos="450"/>
        </w:tabs>
        <w:suppressAutoHyphens/>
        <w:autoSpaceDE w:val="0"/>
        <w:ind w:left="450" w:hanging="450"/>
        <w:jc w:val="both"/>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The HRC has also considered the issue and recognised family members of disappeared or missing persons as victims of a violation of Article 7 of the Covenant: parents (</w:t>
      </w:r>
      <w:proofErr w:type="spellStart"/>
      <w:r w:rsidRPr="005A3795">
        <w:rPr>
          <w:i/>
          <w:color w:val="000000" w:themeColor="text1"/>
          <w:lang w:val="en-GB"/>
        </w:rPr>
        <w:t>Boucherf</w:t>
      </w:r>
      <w:proofErr w:type="spellEnd"/>
      <w:r w:rsidRPr="005A3795">
        <w:rPr>
          <w:i/>
          <w:color w:val="000000" w:themeColor="text1"/>
          <w:lang w:val="en-GB"/>
        </w:rPr>
        <w:t xml:space="preserve"> v. Algeria</w:t>
      </w:r>
      <w:r w:rsidRPr="005A3795">
        <w:rPr>
          <w:color w:val="000000" w:themeColor="text1"/>
          <w:lang w:val="en-GB"/>
        </w:rPr>
        <w:t xml:space="preserve">, </w:t>
      </w:r>
      <w:r w:rsidRPr="005A3795">
        <w:rPr>
          <w:bCs/>
          <w:color w:val="000000" w:themeColor="text1"/>
          <w:lang w:val="en-GB"/>
        </w:rPr>
        <w:t>Communication No. 1196/2003</w:t>
      </w:r>
      <w:r w:rsidRPr="005A3795">
        <w:rPr>
          <w:color w:val="000000" w:themeColor="text1"/>
          <w:lang w:val="en-GB"/>
        </w:rPr>
        <w:t>, views of 30 March 2006, § 9.7, CCPR/C/86/D/1196/2003), children (</w:t>
      </w:r>
      <w:proofErr w:type="spellStart"/>
      <w:r w:rsidRPr="005A3795">
        <w:rPr>
          <w:i/>
          <w:color w:val="000000" w:themeColor="text1"/>
          <w:lang w:val="en-GB"/>
        </w:rPr>
        <w:t>Zarzi</w:t>
      </w:r>
      <w:proofErr w:type="spellEnd"/>
      <w:r w:rsidRPr="005A3795">
        <w:rPr>
          <w:i/>
          <w:color w:val="000000" w:themeColor="text1"/>
          <w:lang w:val="en-GB"/>
        </w:rPr>
        <w:t xml:space="preserve"> v. Algeria</w:t>
      </w:r>
      <w:r w:rsidRPr="005A3795">
        <w:rPr>
          <w:color w:val="000000" w:themeColor="text1"/>
          <w:lang w:val="en-GB"/>
        </w:rPr>
        <w:t xml:space="preserve">, </w:t>
      </w:r>
      <w:r w:rsidRPr="005A3795">
        <w:rPr>
          <w:bCs/>
          <w:color w:val="000000" w:themeColor="text1"/>
          <w:lang w:val="en-GB"/>
        </w:rPr>
        <w:t>Communication No. 1780/2008</w:t>
      </w:r>
      <w:r w:rsidRPr="005A3795">
        <w:rPr>
          <w:color w:val="000000" w:themeColor="text1"/>
          <w:lang w:val="en-GB"/>
        </w:rPr>
        <w:t xml:space="preserve">, views of 22 March 2011, § 7.6, </w:t>
      </w:r>
      <w:r w:rsidRPr="005A3795">
        <w:rPr>
          <w:bCs/>
          <w:color w:val="000000" w:themeColor="text1"/>
          <w:lang w:val="en-GB"/>
        </w:rPr>
        <w:t>CCPR/C/101/D/1780/2008</w:t>
      </w:r>
      <w:r w:rsidRPr="005A3795">
        <w:rPr>
          <w:color w:val="000000" w:themeColor="text1"/>
          <w:lang w:val="en-GB"/>
        </w:rPr>
        <w:t>), siblings (</w:t>
      </w:r>
      <w:r w:rsidRPr="005A3795">
        <w:rPr>
          <w:i/>
          <w:color w:val="000000" w:themeColor="text1"/>
          <w:lang w:val="en-GB"/>
        </w:rPr>
        <w:t xml:space="preserve">El </w:t>
      </w:r>
      <w:proofErr w:type="spellStart"/>
      <w:r w:rsidRPr="005A3795">
        <w:rPr>
          <w:i/>
          <w:color w:val="000000" w:themeColor="text1"/>
          <w:lang w:val="en-GB"/>
        </w:rPr>
        <w:t>Abani</w:t>
      </w:r>
      <w:proofErr w:type="spellEnd"/>
      <w:r w:rsidRPr="005A3795">
        <w:rPr>
          <w:i/>
          <w:color w:val="000000" w:themeColor="text1"/>
          <w:lang w:val="en-GB"/>
        </w:rPr>
        <w:t xml:space="preserve"> v. Libyan Arab Jamahiriya,</w:t>
      </w:r>
      <w:r w:rsidR="001C2E5B" w:rsidRPr="005A3795">
        <w:rPr>
          <w:i/>
          <w:color w:val="000000" w:themeColor="text1"/>
          <w:lang w:val="en-GB"/>
        </w:rPr>
        <w:t xml:space="preserve"> </w:t>
      </w:r>
      <w:r w:rsidRPr="005A3795">
        <w:rPr>
          <w:bCs/>
          <w:color w:val="000000" w:themeColor="text1"/>
          <w:lang w:val="en-GB"/>
        </w:rPr>
        <w:t>Communication No. 1640/2007</w:t>
      </w:r>
      <w:r w:rsidRPr="005A3795">
        <w:rPr>
          <w:color w:val="000000" w:themeColor="text1"/>
          <w:lang w:val="en-GB"/>
        </w:rPr>
        <w:t xml:space="preserve">, views of 26 July 2010, § 7.5, </w:t>
      </w:r>
      <w:r w:rsidRPr="005A3795">
        <w:rPr>
          <w:bCs/>
          <w:color w:val="000000" w:themeColor="text1"/>
          <w:lang w:val="en-GB"/>
        </w:rPr>
        <w:t>CCPR/C/99/D/1640/2007</w:t>
      </w:r>
      <w:r w:rsidRPr="005A3795">
        <w:rPr>
          <w:color w:val="000000" w:themeColor="text1"/>
          <w:lang w:val="en-GB"/>
        </w:rPr>
        <w:t>), spouses (</w:t>
      </w:r>
      <w:proofErr w:type="spellStart"/>
      <w:r w:rsidRPr="005A3795">
        <w:rPr>
          <w:i/>
          <w:color w:val="000000" w:themeColor="text1"/>
          <w:lang w:val="en-GB"/>
        </w:rPr>
        <w:t>Bousroual</w:t>
      </w:r>
      <w:proofErr w:type="spellEnd"/>
      <w:r w:rsidRPr="005A3795">
        <w:rPr>
          <w:i/>
          <w:color w:val="000000" w:themeColor="text1"/>
          <w:lang w:val="en-GB"/>
        </w:rPr>
        <w:t xml:space="preserve"> v. Algeria</w:t>
      </w:r>
      <w:r w:rsidRPr="005A3795">
        <w:rPr>
          <w:color w:val="000000" w:themeColor="text1"/>
          <w:lang w:val="en-GB"/>
        </w:rPr>
        <w:t xml:space="preserve">, </w:t>
      </w:r>
      <w:r w:rsidRPr="005A3795">
        <w:rPr>
          <w:bCs/>
          <w:color w:val="000000" w:themeColor="text1"/>
          <w:lang w:val="en-GB"/>
        </w:rPr>
        <w:t>Communication No. 992/2001, views of</w:t>
      </w:r>
      <w:r w:rsidRPr="005A3795">
        <w:rPr>
          <w:color w:val="000000" w:themeColor="text1"/>
          <w:lang w:val="en-GB"/>
        </w:rPr>
        <w:t xml:space="preserve"> 30 March 2006, § 9.8, CCPR/C/86/D/992/2001), aunts and uncles (</w:t>
      </w:r>
      <w:proofErr w:type="spellStart"/>
      <w:r w:rsidRPr="005A3795">
        <w:rPr>
          <w:i/>
          <w:color w:val="000000" w:themeColor="text1"/>
          <w:lang w:val="en-GB"/>
        </w:rPr>
        <w:t>Benaniza</w:t>
      </w:r>
      <w:proofErr w:type="spellEnd"/>
      <w:r w:rsidRPr="005A3795">
        <w:rPr>
          <w:i/>
          <w:color w:val="000000" w:themeColor="text1"/>
          <w:lang w:val="en-GB"/>
        </w:rPr>
        <w:t xml:space="preserve"> v Algeria,</w:t>
      </w:r>
      <w:r w:rsidRPr="005A3795">
        <w:rPr>
          <w:color w:val="000000" w:themeColor="text1"/>
          <w:lang w:val="en-GB"/>
        </w:rPr>
        <w:t xml:space="preserve"> views of 26 July 2010, § 9.4, CCPR/C/99/D/1588/2007) (</w:t>
      </w:r>
      <w:proofErr w:type="spellStart"/>
      <w:r w:rsidRPr="005A3795">
        <w:rPr>
          <w:i/>
          <w:color w:val="000000" w:themeColor="text1"/>
          <w:lang w:val="en-GB"/>
        </w:rPr>
        <w:t>Bashasha</w:t>
      </w:r>
      <w:proofErr w:type="spellEnd"/>
      <w:r w:rsidRPr="005A3795">
        <w:rPr>
          <w:i/>
          <w:color w:val="000000" w:themeColor="text1"/>
          <w:lang w:val="en-GB"/>
        </w:rPr>
        <w:t xml:space="preserve"> v. Libyan Arab Jamahiriya</w:t>
      </w:r>
      <w:r w:rsidRPr="005A3795">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5A3795">
        <w:rPr>
          <w:i/>
          <w:color w:val="000000" w:themeColor="text1"/>
          <w:lang w:val="en-GB"/>
        </w:rPr>
        <w:t>Aboussedra</w:t>
      </w:r>
      <w:proofErr w:type="spellEnd"/>
      <w:r w:rsidRPr="005A3795">
        <w:rPr>
          <w:i/>
          <w:color w:val="000000" w:themeColor="text1"/>
          <w:lang w:val="en-GB"/>
        </w:rPr>
        <w:t xml:space="preserve"> v. Libyan Arab Jamahiriya</w:t>
      </w:r>
      <w:r w:rsidRPr="005A3795">
        <w:rPr>
          <w:color w:val="000000" w:themeColor="text1"/>
          <w:lang w:val="en-GB"/>
        </w:rPr>
        <w:t xml:space="preserve">, </w:t>
      </w:r>
      <w:r w:rsidRPr="005A3795">
        <w:rPr>
          <w:bCs/>
          <w:color w:val="000000" w:themeColor="text1"/>
          <w:lang w:val="en-GB"/>
        </w:rPr>
        <w:t>Communication No. 1751/2008,</w:t>
      </w:r>
      <w:r w:rsidRPr="005A3795">
        <w:rPr>
          <w:color w:val="000000" w:themeColor="text1"/>
          <w:lang w:val="en-GB"/>
        </w:rPr>
        <w:t xml:space="preserve"> views of 25 October 2010, § 7.5, </w:t>
      </w:r>
      <w:r w:rsidRPr="005A3795">
        <w:rPr>
          <w:bCs/>
          <w:color w:val="000000" w:themeColor="text1"/>
          <w:lang w:val="en-GB"/>
        </w:rPr>
        <w:t>CCPR/C/100/D/1751/2008</w:t>
      </w:r>
      <w:r w:rsidRPr="005A3795">
        <w:rPr>
          <w:color w:val="000000" w:themeColor="text1"/>
          <w:lang w:val="en-GB"/>
        </w:rPr>
        <w:t xml:space="preserve">). In the case </w:t>
      </w:r>
      <w:proofErr w:type="spellStart"/>
      <w:r w:rsidRPr="005A3795">
        <w:rPr>
          <w:i/>
          <w:color w:val="000000" w:themeColor="text1"/>
          <w:lang w:val="en-GB"/>
        </w:rPr>
        <w:t>Amirov</w:t>
      </w:r>
      <w:proofErr w:type="spellEnd"/>
      <w:r w:rsidRPr="005A3795">
        <w:rPr>
          <w:i/>
          <w:color w:val="000000" w:themeColor="text1"/>
          <w:lang w:val="en-GB"/>
        </w:rPr>
        <w:t xml:space="preserve"> v. Russian Federation</w:t>
      </w:r>
      <w:r w:rsidRPr="005A3795">
        <w:rPr>
          <w:color w:val="000000" w:themeColor="text1"/>
          <w:lang w:val="en-GB"/>
        </w:rPr>
        <w:t xml:space="preserve"> the Committee observed that “</w:t>
      </w:r>
      <w:r w:rsidRPr="005A3795">
        <w:rPr>
          <w:color w:val="000000" w:themeColor="text1"/>
          <w:lang w:val="en-GB"/>
        </w:rPr>
        <w:sym w:font="Symbol" w:char="F05B"/>
      </w:r>
      <w:r w:rsidRPr="005A3795">
        <w:rPr>
          <w:color w:val="000000" w:themeColor="text1"/>
          <w:lang w:val="en-GB"/>
        </w:rPr>
        <w:t>w</w:t>
      </w:r>
      <w:r w:rsidRPr="005A3795">
        <w:rPr>
          <w:color w:val="000000" w:themeColor="text1"/>
          <w:lang w:val="en-GB"/>
        </w:rPr>
        <w:sym w:font="Symbol" w:char="F05D"/>
      </w:r>
      <w:proofErr w:type="spellStart"/>
      <w:r w:rsidRPr="005A3795">
        <w:rPr>
          <w:color w:val="000000" w:themeColor="text1"/>
          <w:lang w:val="en-GB"/>
        </w:rPr>
        <w:t>ithout</w:t>
      </w:r>
      <w:proofErr w:type="spellEnd"/>
      <w:r w:rsidRPr="005A3795">
        <w:rPr>
          <w:color w:val="000000" w:themeColor="text1"/>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w:t>
      </w:r>
      <w:r w:rsidR="00D5706F" w:rsidRPr="005A3795">
        <w:rPr>
          <w:color w:val="000000" w:themeColor="text1"/>
          <w:lang w:val="en-GB"/>
        </w:rPr>
        <w:t xml:space="preserve"> the circumstances that have le</w:t>
      </w:r>
      <w:r w:rsidRPr="005A3795">
        <w:rPr>
          <w:color w:val="000000" w:themeColor="text1"/>
          <w:lang w:val="en-GB"/>
        </w:rPr>
        <w:t xml:space="preserve">d to the above findings of violations of articles 6 and 7, read together with article 2, paragraph 3. The Committee considers that, taken together, the circumstances require the Committee to conclude that the author's own rights under article 7 have also been violated” (HRC, </w:t>
      </w:r>
      <w:proofErr w:type="spellStart"/>
      <w:r w:rsidRPr="005A3795">
        <w:rPr>
          <w:i/>
          <w:color w:val="000000" w:themeColor="text1"/>
          <w:lang w:val="en-GB"/>
        </w:rPr>
        <w:t>Amirov</w:t>
      </w:r>
      <w:proofErr w:type="spellEnd"/>
      <w:r w:rsidRPr="005A3795">
        <w:rPr>
          <w:color w:val="000000" w:themeColor="text1"/>
          <w:lang w:val="en-GB"/>
        </w:rPr>
        <w:t>, cited in §</w:t>
      </w:r>
      <w:r w:rsidR="00FC30AF" w:rsidRPr="005A3795">
        <w:rPr>
          <w:color w:val="000000" w:themeColor="text1"/>
          <w:lang w:val="en-GB"/>
        </w:rPr>
        <w:t xml:space="preserve"> </w:t>
      </w:r>
      <w:r w:rsidR="00FC30AF" w:rsidRPr="005A3795">
        <w:rPr>
          <w:color w:val="000000" w:themeColor="text1"/>
          <w:lang w:val="en-GB"/>
        </w:rPr>
        <w:fldChar w:fldCharType="begin"/>
      </w:r>
      <w:r w:rsidR="00FC30AF" w:rsidRPr="005A3795">
        <w:rPr>
          <w:color w:val="000000" w:themeColor="text1"/>
          <w:lang w:val="en-GB"/>
        </w:rPr>
        <w:instrText xml:space="preserve"> REF _Ref404685440 \r \h </w:instrText>
      </w:r>
      <w:r w:rsidR="000D2756" w:rsidRPr="005A3795">
        <w:rPr>
          <w:color w:val="000000" w:themeColor="text1"/>
          <w:lang w:val="en-GB"/>
        </w:rPr>
        <w:instrText xml:space="preserve"> \* MERGEFORMAT </w:instrText>
      </w:r>
      <w:r w:rsidR="00FC30AF" w:rsidRPr="005A3795">
        <w:rPr>
          <w:color w:val="000000" w:themeColor="text1"/>
          <w:lang w:val="en-GB"/>
        </w:rPr>
      </w:r>
      <w:r w:rsidR="00FC30AF" w:rsidRPr="005A3795">
        <w:rPr>
          <w:color w:val="000000" w:themeColor="text1"/>
          <w:lang w:val="en-GB"/>
        </w:rPr>
        <w:fldChar w:fldCharType="separate"/>
      </w:r>
      <w:r w:rsidR="00C60385">
        <w:rPr>
          <w:color w:val="000000" w:themeColor="text1"/>
          <w:lang w:val="en-GB"/>
        </w:rPr>
        <w:t>88</w:t>
      </w:r>
      <w:r w:rsidR="00FC30AF" w:rsidRPr="005A3795">
        <w:rPr>
          <w:color w:val="000000" w:themeColor="text1"/>
          <w:lang w:val="en-GB"/>
        </w:rPr>
        <w:fldChar w:fldCharType="end"/>
      </w:r>
      <w:r w:rsidRPr="005A3795">
        <w:rPr>
          <w:color w:val="000000" w:themeColor="text1"/>
          <w:lang w:val="en-GB"/>
        </w:rPr>
        <w:t xml:space="preserve"> above, at § 11.7).</w:t>
      </w:r>
    </w:p>
    <w:p w:rsidR="00711F6E" w:rsidRPr="005A3795" w:rsidRDefault="00711F6E" w:rsidP="00711F6E">
      <w:pPr>
        <w:tabs>
          <w:tab w:val="num" w:pos="450"/>
        </w:tabs>
        <w:suppressAutoHyphens/>
        <w:autoSpaceDE w:val="0"/>
        <w:ind w:left="450" w:hanging="450"/>
        <w:jc w:val="both"/>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Açiș</w:t>
      </w:r>
      <w:proofErr w:type="spellEnd"/>
      <w:r w:rsidRPr="005A3795">
        <w:rPr>
          <w:i/>
          <w:color w:val="000000" w:themeColor="text1"/>
          <w:lang w:val="en-GB"/>
        </w:rPr>
        <w:t xml:space="preserve"> v. Turkey</w:t>
      </w:r>
      <w:r w:rsidRPr="005A3795">
        <w:rPr>
          <w:color w:val="000000" w:themeColor="text1"/>
          <w:lang w:val="en-GB"/>
        </w:rPr>
        <w:t>, no. 7050/05, judgment of 1 February 2011, § 45).</w:t>
      </w:r>
    </w:p>
    <w:p w:rsidR="00711F6E" w:rsidRPr="005A3795" w:rsidRDefault="00711F6E" w:rsidP="00711F6E">
      <w:pPr>
        <w:pStyle w:val="ListParagraph"/>
        <w:tabs>
          <w:tab w:val="num" w:pos="450"/>
        </w:tabs>
        <w:ind w:left="450" w:hanging="450"/>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Basayeva</w:t>
      </w:r>
      <w:proofErr w:type="spellEnd"/>
      <w:r w:rsidRPr="005A3795">
        <w:rPr>
          <w:i/>
          <w:color w:val="000000" w:themeColor="text1"/>
          <w:lang w:val="en-GB"/>
        </w:rPr>
        <w:t xml:space="preserve"> and Others v. Russia</w:t>
      </w:r>
      <w:r w:rsidRPr="005A3795">
        <w:rPr>
          <w:color w:val="000000" w:themeColor="text1"/>
          <w:lang w:val="en-GB"/>
        </w:rPr>
        <w:t xml:space="preserve">, cited in § </w:t>
      </w:r>
      <w:r w:rsidRPr="005A3795">
        <w:fldChar w:fldCharType="begin"/>
      </w:r>
      <w:r w:rsidRPr="005A3795">
        <w:instrText xml:space="preserve"> REF _Ref374623221 \r \h  \* MERGEFORMAT </w:instrText>
      </w:r>
      <w:r w:rsidRPr="005A3795">
        <w:fldChar w:fldCharType="separate"/>
      </w:r>
      <w:r w:rsidR="00C60385" w:rsidRPr="00C60385">
        <w:rPr>
          <w:color w:val="000000" w:themeColor="text1"/>
          <w:lang w:val="en-GB"/>
        </w:rPr>
        <w:t>125</w:t>
      </w:r>
      <w:r w:rsidRPr="005A3795">
        <w:fldChar w:fldCharType="end"/>
      </w:r>
      <w:r w:rsidRPr="005A3795">
        <w:rPr>
          <w:color w:val="000000" w:themeColor="text1"/>
          <w:lang w:val="en-GB"/>
        </w:rPr>
        <w:t xml:space="preserve"> above, at § 109;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Gelayevy</w:t>
      </w:r>
      <w:proofErr w:type="spellEnd"/>
      <w:r w:rsidRPr="005A3795">
        <w:rPr>
          <w:i/>
          <w:color w:val="000000" w:themeColor="text1"/>
          <w:lang w:val="en-GB"/>
        </w:rPr>
        <w:t xml:space="preserve"> v. Russia</w:t>
      </w:r>
      <w:r w:rsidRPr="005A3795">
        <w:rPr>
          <w:color w:val="000000" w:themeColor="text1"/>
          <w:lang w:val="en-GB"/>
        </w:rPr>
        <w:t xml:space="preserve">, cited in § </w:t>
      </w:r>
      <w:r w:rsidRPr="005A3795">
        <w:fldChar w:fldCharType="begin"/>
      </w:r>
      <w:r w:rsidRPr="005A3795">
        <w:instrText xml:space="preserve"> REF _Ref374623316 \r \h  \* MERGEFORMAT </w:instrText>
      </w:r>
      <w:r w:rsidRPr="005A3795">
        <w:fldChar w:fldCharType="separate"/>
      </w:r>
      <w:r w:rsidR="00C60385" w:rsidRPr="00C60385">
        <w:rPr>
          <w:color w:val="000000" w:themeColor="text1"/>
          <w:lang w:val="en-GB"/>
        </w:rPr>
        <w:t>114</w:t>
      </w:r>
      <w:r w:rsidRPr="005A3795">
        <w:fldChar w:fldCharType="end"/>
      </w:r>
      <w:r w:rsidRPr="005A3795">
        <w:rPr>
          <w:color w:val="000000" w:themeColor="text1"/>
          <w:lang w:val="en-GB"/>
        </w:rPr>
        <w:t xml:space="preserve"> above, at § 147;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Bazorkina</w:t>
      </w:r>
      <w:proofErr w:type="spellEnd"/>
      <w:r w:rsidRPr="005A3795">
        <w:rPr>
          <w:i/>
          <w:color w:val="000000" w:themeColor="text1"/>
          <w:lang w:val="en-GB"/>
        </w:rPr>
        <w:t xml:space="preserve"> v. Russia</w:t>
      </w:r>
      <w:r w:rsidRPr="005A3795">
        <w:rPr>
          <w:color w:val="000000" w:themeColor="text1"/>
          <w:lang w:val="en-GB"/>
        </w:rPr>
        <w:t xml:space="preserve">, cited in § </w:t>
      </w:r>
      <w:r w:rsidR="00FC30AF" w:rsidRPr="005A3795">
        <w:fldChar w:fldCharType="begin"/>
      </w:r>
      <w:r w:rsidR="00FC30AF" w:rsidRPr="005A3795">
        <w:rPr>
          <w:color w:val="000000" w:themeColor="text1"/>
          <w:lang w:val="en-GB"/>
        </w:rPr>
        <w:instrText xml:space="preserve"> REF _Ref366241459 \r \h </w:instrText>
      </w:r>
      <w:r w:rsidR="000D2756" w:rsidRPr="005A3795">
        <w:instrText xml:space="preserve"> \* MERGEFORMAT </w:instrText>
      </w:r>
      <w:r w:rsidR="00FC30AF" w:rsidRPr="005A3795">
        <w:fldChar w:fldCharType="separate"/>
      </w:r>
      <w:r w:rsidR="00C60385">
        <w:rPr>
          <w:color w:val="000000" w:themeColor="text1"/>
          <w:lang w:val="en-GB"/>
        </w:rPr>
        <w:t>87</w:t>
      </w:r>
      <w:r w:rsidR="00FC30AF" w:rsidRPr="005A3795">
        <w:fldChar w:fldCharType="end"/>
      </w:r>
      <w:r w:rsidRPr="005A3795">
        <w:rPr>
          <w:color w:val="000000" w:themeColor="text1"/>
          <w:lang w:val="en-GB"/>
        </w:rPr>
        <w:t xml:space="preserve"> above, at § 140).</w:t>
      </w:r>
    </w:p>
    <w:p w:rsidR="00711F6E" w:rsidRPr="005A3795" w:rsidRDefault="00711F6E" w:rsidP="00711F6E">
      <w:pPr>
        <w:pStyle w:val="ListParagraph"/>
        <w:tabs>
          <w:tab w:val="num" w:pos="450"/>
        </w:tabs>
        <w:ind w:left="450" w:hanging="450"/>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Luluyev</w:t>
      </w:r>
      <w:proofErr w:type="spellEnd"/>
      <w:r w:rsidRPr="005A3795">
        <w:rPr>
          <w:i/>
          <w:color w:val="000000" w:themeColor="text1"/>
          <w:lang w:val="en-GB"/>
        </w:rPr>
        <w:t xml:space="preserve"> and Others v. Russia</w:t>
      </w:r>
      <w:r w:rsidRPr="005A3795">
        <w:rPr>
          <w:color w:val="000000" w:themeColor="text1"/>
          <w:lang w:val="en-GB"/>
        </w:rPr>
        <w:t xml:space="preserve">, no. 69480/01, judgment of 9 November 2006, §§ 117 - 118;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Kukayev</w:t>
      </w:r>
      <w:proofErr w:type="spellEnd"/>
      <w:r w:rsidRPr="005A3795">
        <w:rPr>
          <w:i/>
          <w:color w:val="000000" w:themeColor="text1"/>
          <w:lang w:val="en-GB"/>
        </w:rPr>
        <w:t xml:space="preserve"> v. Russia</w:t>
      </w:r>
      <w:r w:rsidRPr="005A3795">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5A3795" w:rsidRDefault="00711F6E" w:rsidP="00711F6E">
      <w:pPr>
        <w:pStyle w:val="ListParagraph"/>
        <w:tabs>
          <w:tab w:val="num" w:pos="450"/>
        </w:tabs>
        <w:ind w:left="450" w:hanging="450"/>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5A3795">
        <w:rPr>
          <w:rStyle w:val="sb8d990e2"/>
          <w:color w:val="000000" w:themeColor="text1"/>
          <w:lang w:val="en-GB"/>
        </w:rPr>
        <w:t>could have in itself</w:t>
      </w:r>
      <w:r w:rsidRPr="005A3795">
        <w:rPr>
          <w:color w:val="000000" w:themeColor="text1"/>
          <w:lang w:val="en-GB"/>
        </w:rPr>
        <w:t xml:space="preserve"> caused the applicant mental distress in excess of the minimum level of severity, which is necessary in order to consider treatment as falling within the scope of Article 3 (see, among others,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Tovsultanova</w:t>
      </w:r>
      <w:proofErr w:type="spellEnd"/>
      <w:r w:rsidRPr="005A3795">
        <w:rPr>
          <w:i/>
          <w:color w:val="000000" w:themeColor="text1"/>
          <w:lang w:val="en-GB"/>
        </w:rPr>
        <w:t xml:space="preserve"> v. Russia</w:t>
      </w:r>
      <w:r w:rsidRPr="005A3795">
        <w:rPr>
          <w:color w:val="000000" w:themeColor="text1"/>
          <w:lang w:val="en-GB"/>
        </w:rPr>
        <w:t xml:space="preserve">, no. 26974/06, judgment of 17 June 2010, § 104; </w:t>
      </w:r>
      <w:proofErr w:type="spellStart"/>
      <w:r w:rsidRPr="005A3795">
        <w:rPr>
          <w:color w:val="000000" w:themeColor="text1"/>
          <w:lang w:val="en-GB"/>
        </w:rPr>
        <w:t>ECtHR</w:t>
      </w:r>
      <w:proofErr w:type="spellEnd"/>
      <w:r w:rsidRPr="005A3795">
        <w:rPr>
          <w:color w:val="000000" w:themeColor="text1"/>
          <w:lang w:val="en-GB"/>
        </w:rPr>
        <w:t xml:space="preserve">, </w:t>
      </w:r>
      <w:proofErr w:type="spellStart"/>
      <w:r w:rsidRPr="005A3795">
        <w:rPr>
          <w:i/>
          <w:color w:val="000000" w:themeColor="text1"/>
          <w:lang w:val="en-GB"/>
        </w:rPr>
        <w:t>Shafiyeva</w:t>
      </w:r>
      <w:proofErr w:type="spellEnd"/>
      <w:r w:rsidRPr="005A3795">
        <w:rPr>
          <w:i/>
          <w:color w:val="000000" w:themeColor="text1"/>
          <w:lang w:val="en-GB"/>
        </w:rPr>
        <w:t xml:space="preserve"> v. Russia</w:t>
      </w:r>
      <w:r w:rsidRPr="005A3795">
        <w:rPr>
          <w:color w:val="000000" w:themeColor="text1"/>
          <w:lang w:val="en-GB"/>
        </w:rPr>
        <w:t>, no. 49379/09, judgment of 3 May 2012, § 103).</w:t>
      </w:r>
    </w:p>
    <w:p w:rsidR="00711F6E" w:rsidRPr="005A3795" w:rsidRDefault="00711F6E" w:rsidP="00711F6E">
      <w:pPr>
        <w:pStyle w:val="Default"/>
        <w:tabs>
          <w:tab w:val="left" w:pos="360"/>
          <w:tab w:val="left" w:pos="540"/>
          <w:tab w:val="left" w:pos="720"/>
        </w:tabs>
        <w:ind w:left="450" w:hanging="450"/>
        <w:jc w:val="both"/>
        <w:rPr>
          <w:color w:val="000000" w:themeColor="text1"/>
          <w:lang w:val="en-GB"/>
        </w:rPr>
      </w:pPr>
    </w:p>
    <w:p w:rsidR="00711F6E" w:rsidRPr="005A3795" w:rsidRDefault="00711F6E" w:rsidP="00711F6E">
      <w:pPr>
        <w:pStyle w:val="ListParagraph1"/>
        <w:numPr>
          <w:ilvl w:val="0"/>
          <w:numId w:val="16"/>
        </w:numPr>
        <w:ind w:left="360"/>
        <w:jc w:val="both"/>
        <w:rPr>
          <w:i/>
          <w:color w:val="000000" w:themeColor="text1"/>
          <w:lang w:eastAsia="en-US"/>
        </w:rPr>
      </w:pPr>
      <w:r w:rsidRPr="005A3795">
        <w:rPr>
          <w:i/>
          <w:color w:val="000000" w:themeColor="text1"/>
          <w:lang w:eastAsia="en-US"/>
        </w:rPr>
        <w:t>Applicability of Article 3 to the Kosovo context</w:t>
      </w:r>
    </w:p>
    <w:p w:rsidR="00711F6E" w:rsidRPr="005A3795" w:rsidRDefault="00711F6E" w:rsidP="00711F6E">
      <w:pPr>
        <w:pStyle w:val="Default"/>
        <w:tabs>
          <w:tab w:val="left" w:pos="360"/>
          <w:tab w:val="left" w:pos="540"/>
          <w:tab w:val="left" w:pos="720"/>
        </w:tabs>
        <w:ind w:hanging="360"/>
        <w:jc w:val="both"/>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 xml:space="preserve">With regard to the </w:t>
      </w:r>
      <w:r w:rsidRPr="005A3795">
        <w:rPr>
          <w:rStyle w:val="sb8d990e2"/>
          <w:color w:val="000000" w:themeColor="text1"/>
        </w:rPr>
        <w:t>applicability</w:t>
      </w:r>
      <w:r w:rsidRPr="005A3795">
        <w:rPr>
          <w:color w:val="000000" w:themeColor="text1"/>
          <w:lang w:val="en-GB"/>
        </w:rPr>
        <w:t xml:space="preserve"> of the above standards to the Kosovo context, the Panel first refers to its view on the same issue with regard to Article 2, developed above (see §§ </w:t>
      </w:r>
      <w:r w:rsidRPr="005A3795">
        <w:fldChar w:fldCharType="begin"/>
      </w:r>
      <w:r w:rsidRPr="005A3795">
        <w:rPr>
          <w:color w:val="000000" w:themeColor="text1"/>
          <w:lang w:val="en-GB"/>
        </w:rPr>
        <w:instrText xml:space="preserve"> REF _Ref366163783 \r \h </w:instrText>
      </w:r>
      <w:r w:rsidR="000D2756" w:rsidRPr="005A3795">
        <w:instrText xml:space="preserve"> \* MERGEFORMAT </w:instrText>
      </w:r>
      <w:r w:rsidRPr="005A3795">
        <w:fldChar w:fldCharType="separate"/>
      </w:r>
      <w:r w:rsidR="00C60385">
        <w:rPr>
          <w:color w:val="000000" w:themeColor="text1"/>
          <w:lang w:val="en-GB"/>
        </w:rPr>
        <w:t>82</w:t>
      </w:r>
      <w:r w:rsidRPr="005A3795">
        <w:fldChar w:fldCharType="end"/>
      </w:r>
      <w:r w:rsidRPr="005A3795">
        <w:rPr>
          <w:color w:val="000000" w:themeColor="text1"/>
          <w:lang w:val="en-GB"/>
        </w:rPr>
        <w:t xml:space="preserve"> - </w:t>
      </w:r>
      <w:r w:rsidRPr="005A3795">
        <w:fldChar w:fldCharType="begin"/>
      </w:r>
      <w:r w:rsidRPr="005A3795">
        <w:rPr>
          <w:color w:val="000000" w:themeColor="text1"/>
          <w:lang w:val="en-GB"/>
        </w:rPr>
        <w:instrText xml:space="preserve"> REF _Ref403834230 \r \h </w:instrText>
      </w:r>
      <w:r w:rsidR="000D2756" w:rsidRPr="005A3795">
        <w:instrText xml:space="preserve"> \* MERGEFORMAT </w:instrText>
      </w:r>
      <w:r w:rsidRPr="005A3795">
        <w:fldChar w:fldCharType="separate"/>
      </w:r>
      <w:r w:rsidR="00C60385">
        <w:rPr>
          <w:color w:val="000000" w:themeColor="text1"/>
          <w:lang w:val="en-GB"/>
        </w:rPr>
        <w:t>92</w:t>
      </w:r>
      <w:r w:rsidRPr="005A3795">
        <w:fldChar w:fldCharType="end"/>
      </w:r>
      <w:r w:rsidRPr="005A3795">
        <w:rPr>
          <w:color w:val="000000" w:themeColor="text1"/>
          <w:lang w:val="en-GB"/>
        </w:rPr>
        <w:t xml:space="preserve"> above).</w:t>
      </w:r>
    </w:p>
    <w:p w:rsidR="00711F6E" w:rsidRPr="005A3795" w:rsidRDefault="00711F6E" w:rsidP="00711F6E">
      <w:pPr>
        <w:pStyle w:val="Default"/>
        <w:tabs>
          <w:tab w:val="num" w:pos="450"/>
        </w:tabs>
        <w:ind w:left="450" w:hanging="450"/>
        <w:jc w:val="both"/>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5A3795">
        <w:rPr>
          <w:color w:val="000000" w:themeColor="text1"/>
          <w:lang w:val="en-GB"/>
        </w:rPr>
        <w:fldChar w:fldCharType="begin"/>
      </w:r>
      <w:r w:rsidR="00FC30AF" w:rsidRPr="005A3795">
        <w:rPr>
          <w:color w:val="000000" w:themeColor="text1"/>
          <w:lang w:val="en-GB"/>
        </w:rPr>
        <w:instrText xml:space="preserve"> REF _Ref346123767 \r \h </w:instrText>
      </w:r>
      <w:r w:rsidR="000D2756" w:rsidRPr="005A3795">
        <w:rPr>
          <w:color w:val="000000" w:themeColor="text1"/>
          <w:lang w:val="en-GB"/>
        </w:rPr>
        <w:instrText xml:space="preserve"> \* MERGEFORMAT </w:instrText>
      </w:r>
      <w:r w:rsidR="00FC30AF" w:rsidRPr="005A3795">
        <w:rPr>
          <w:color w:val="000000" w:themeColor="text1"/>
          <w:lang w:val="en-GB"/>
        </w:rPr>
      </w:r>
      <w:r w:rsidR="00FC30AF" w:rsidRPr="005A3795">
        <w:rPr>
          <w:color w:val="000000" w:themeColor="text1"/>
          <w:lang w:val="en-GB"/>
        </w:rPr>
        <w:fldChar w:fldCharType="separate"/>
      </w:r>
      <w:r w:rsidR="00C60385">
        <w:rPr>
          <w:color w:val="000000" w:themeColor="text1"/>
          <w:lang w:val="en-GB"/>
        </w:rPr>
        <w:t>17</w:t>
      </w:r>
      <w:r w:rsidR="00FC30AF" w:rsidRPr="005A3795">
        <w:rPr>
          <w:color w:val="000000" w:themeColor="text1"/>
          <w:lang w:val="en-GB"/>
        </w:rPr>
        <w:fldChar w:fldCharType="end"/>
      </w:r>
      <w:r w:rsidR="00FC30AF" w:rsidRPr="005A3795">
        <w:rPr>
          <w:color w:val="000000" w:themeColor="text1"/>
          <w:lang w:val="en-GB"/>
        </w:rPr>
        <w:t xml:space="preserve"> </w:t>
      </w:r>
      <w:r w:rsidRPr="005A3795">
        <w:rPr>
          <w:color w:val="000000" w:themeColor="text1"/>
          <w:lang w:val="en-GB"/>
        </w:rPr>
        <w:t>above).</w:t>
      </w:r>
    </w:p>
    <w:p w:rsidR="00711F6E" w:rsidRPr="005A3795" w:rsidRDefault="00711F6E" w:rsidP="00711F6E">
      <w:pPr>
        <w:pStyle w:val="ListParagraph"/>
        <w:tabs>
          <w:tab w:val="num" w:pos="450"/>
        </w:tabs>
        <w:ind w:left="450" w:hanging="450"/>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 xml:space="preserve">The Panel again notes that it will not review relevant practices or alleged obstacles to the conduct of effective investigations </w:t>
      </w:r>
      <w:r w:rsidRPr="005A3795">
        <w:rPr>
          <w:i/>
          <w:color w:val="000000" w:themeColor="text1"/>
          <w:lang w:val="en-GB"/>
        </w:rPr>
        <w:t xml:space="preserve">in </w:t>
      </w:r>
      <w:proofErr w:type="spellStart"/>
      <w:r w:rsidRPr="005A3795">
        <w:rPr>
          <w:i/>
          <w:color w:val="000000" w:themeColor="text1"/>
          <w:lang w:val="en-GB"/>
        </w:rPr>
        <w:t>abstracto</w:t>
      </w:r>
      <w:proofErr w:type="spellEnd"/>
      <w:r w:rsidRPr="005A3795">
        <w:rPr>
          <w:color w:val="000000" w:themeColor="text1"/>
          <w:lang w:val="en-GB"/>
        </w:rPr>
        <w:t>, but only in relation to their specific application to the complaint before it, considering the particular circumstances of the case.</w:t>
      </w:r>
    </w:p>
    <w:p w:rsidR="00711F6E" w:rsidRPr="005A3795" w:rsidRDefault="00711F6E" w:rsidP="00711F6E">
      <w:pPr>
        <w:pStyle w:val="ListParagraph"/>
        <w:tabs>
          <w:tab w:val="num" w:pos="450"/>
        </w:tabs>
        <w:ind w:left="450" w:hanging="450"/>
        <w:rPr>
          <w:color w:val="000000" w:themeColor="text1"/>
          <w:lang w:val="en-GB"/>
        </w:rPr>
      </w:pPr>
    </w:p>
    <w:p w:rsidR="002B7A39" w:rsidRPr="005A3795" w:rsidRDefault="00711F6E" w:rsidP="00711F6E">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2B7A39" w:rsidRPr="005A3795" w:rsidRDefault="002B7A39" w:rsidP="00711F6E">
      <w:pPr>
        <w:rPr>
          <w:i/>
          <w:color w:val="000000" w:themeColor="text1"/>
          <w:lang w:val="en-GB"/>
        </w:rPr>
      </w:pPr>
    </w:p>
    <w:p w:rsidR="00711F6E" w:rsidRPr="005A3795" w:rsidRDefault="00711F6E" w:rsidP="00711F6E">
      <w:pPr>
        <w:pStyle w:val="ListParagraph1"/>
        <w:numPr>
          <w:ilvl w:val="0"/>
          <w:numId w:val="16"/>
        </w:numPr>
        <w:ind w:left="360"/>
        <w:jc w:val="both"/>
        <w:rPr>
          <w:color w:val="000000" w:themeColor="text1"/>
        </w:rPr>
      </w:pPr>
      <w:r w:rsidRPr="005A3795">
        <w:rPr>
          <w:i/>
          <w:color w:val="000000" w:themeColor="text1"/>
          <w:lang w:eastAsia="en-US"/>
        </w:rPr>
        <w:t>Compliance</w:t>
      </w:r>
      <w:r w:rsidRPr="005A3795">
        <w:rPr>
          <w:i/>
          <w:color w:val="000000" w:themeColor="text1"/>
        </w:rPr>
        <w:t xml:space="preserve"> with Article 3 in the present case</w:t>
      </w:r>
    </w:p>
    <w:p w:rsidR="00711F6E" w:rsidRPr="005A3795" w:rsidRDefault="00711F6E" w:rsidP="00711F6E">
      <w:pPr>
        <w:pStyle w:val="ListParagraph"/>
        <w:ind w:left="360"/>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Against this background, the Panel discerns a number of factors in the present case which, taken together, raise the question of violation of Article 3 of the ECHR.</w:t>
      </w:r>
    </w:p>
    <w:p w:rsidR="00711F6E" w:rsidRPr="005A3795" w:rsidRDefault="00711F6E" w:rsidP="00711F6E">
      <w:pPr>
        <w:pStyle w:val="Default"/>
        <w:tabs>
          <w:tab w:val="num" w:pos="450"/>
        </w:tabs>
        <w:ind w:left="450" w:hanging="450"/>
        <w:jc w:val="both"/>
        <w:rPr>
          <w:color w:val="000000" w:themeColor="text1"/>
          <w:lang w:val="en-GB"/>
        </w:rPr>
      </w:pPr>
    </w:p>
    <w:p w:rsidR="00DD33CB" w:rsidRPr="005A3795" w:rsidRDefault="00711F6E" w:rsidP="00DD33CB">
      <w:pPr>
        <w:pStyle w:val="ListParagraph"/>
        <w:numPr>
          <w:ilvl w:val="0"/>
          <w:numId w:val="2"/>
        </w:numPr>
        <w:tabs>
          <w:tab w:val="clear" w:pos="360"/>
          <w:tab w:val="num" w:pos="450"/>
        </w:tabs>
        <w:autoSpaceDE w:val="0"/>
        <w:ind w:left="450" w:hanging="450"/>
        <w:jc w:val="both"/>
        <w:rPr>
          <w:color w:val="000000" w:themeColor="text1"/>
        </w:rPr>
      </w:pPr>
      <w:r w:rsidRPr="005A3795">
        <w:rPr>
          <w:color w:val="000000" w:themeColor="text1"/>
          <w:lang w:val="en-GB"/>
        </w:rPr>
        <w:t xml:space="preserve">The Panel notes the proximity of the family ties between the complainant and </w:t>
      </w:r>
      <w:proofErr w:type="spellStart"/>
      <w:r w:rsidR="0015004C" w:rsidRPr="005A3795">
        <w:t>Mrs</w:t>
      </w:r>
      <w:proofErr w:type="spellEnd"/>
      <w:r w:rsidR="0015004C" w:rsidRPr="005A3795">
        <w:t xml:space="preserve"> Vera </w:t>
      </w:r>
      <w:proofErr w:type="spellStart"/>
      <w:r w:rsidR="0015004C" w:rsidRPr="005A3795">
        <w:t>Škripac</w:t>
      </w:r>
      <w:proofErr w:type="spellEnd"/>
      <w:r w:rsidRPr="005A3795">
        <w:rPr>
          <w:color w:val="000000" w:themeColor="text1"/>
        </w:rPr>
        <w:t xml:space="preserve">, as the latter is the complainant’s </w:t>
      </w:r>
      <w:r w:rsidR="0015004C" w:rsidRPr="005A3795">
        <w:rPr>
          <w:color w:val="000000" w:themeColor="text1"/>
        </w:rPr>
        <w:t>m</w:t>
      </w:r>
      <w:r w:rsidR="007C59FC" w:rsidRPr="005A3795">
        <w:rPr>
          <w:color w:val="000000" w:themeColor="text1"/>
        </w:rPr>
        <w:t>other</w:t>
      </w:r>
      <w:r w:rsidR="006E0599" w:rsidRPr="005A3795">
        <w:rPr>
          <w:color w:val="000000" w:themeColor="text1"/>
        </w:rPr>
        <w:t xml:space="preserve">. </w:t>
      </w:r>
      <w:r w:rsidR="00DD33CB" w:rsidRPr="005A3795">
        <w:rPr>
          <w:color w:val="000000" w:themeColor="text1"/>
        </w:rPr>
        <w:t xml:space="preserve">Accordingly, the Panel has no doubt that </w:t>
      </w:r>
      <w:r w:rsidR="001C2E5B" w:rsidRPr="005A3795">
        <w:rPr>
          <w:color w:val="000000" w:themeColor="text1"/>
        </w:rPr>
        <w:t>he</w:t>
      </w:r>
      <w:r w:rsidR="00DD33CB" w:rsidRPr="005A3795">
        <w:rPr>
          <w:color w:val="000000" w:themeColor="text1"/>
        </w:rPr>
        <w:t xml:space="preserve"> indeed has suffered serious emotional distress since.</w:t>
      </w:r>
    </w:p>
    <w:p w:rsidR="00711F6E" w:rsidRPr="005A3795" w:rsidRDefault="00711F6E" w:rsidP="00DD33CB">
      <w:pPr>
        <w:tabs>
          <w:tab w:val="num" w:pos="450"/>
        </w:tabs>
        <w:autoSpaceDE w:val="0"/>
        <w:jc w:val="both"/>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5A3795" w:rsidRDefault="00711F6E" w:rsidP="00711F6E">
      <w:pPr>
        <w:pStyle w:val="ListParagraph"/>
        <w:ind w:left="450" w:hanging="450"/>
        <w:rPr>
          <w:color w:val="000000" w:themeColor="text1"/>
          <w:lang w:val="en-GB"/>
        </w:rPr>
      </w:pPr>
    </w:p>
    <w:p w:rsidR="00107226" w:rsidRPr="005A3795" w:rsidRDefault="00711F6E" w:rsidP="00107226">
      <w:pPr>
        <w:numPr>
          <w:ilvl w:val="0"/>
          <w:numId w:val="2"/>
        </w:numPr>
        <w:tabs>
          <w:tab w:val="num" w:pos="450"/>
          <w:tab w:val="left" w:pos="709"/>
        </w:tabs>
        <w:suppressAutoHyphens/>
        <w:autoSpaceDE w:val="0"/>
        <w:jc w:val="both"/>
        <w:rPr>
          <w:color w:val="000000"/>
          <w:lang w:val="en-GB"/>
        </w:rPr>
      </w:pPr>
      <w:r w:rsidRPr="005A3795">
        <w:rPr>
          <w:color w:val="000000" w:themeColor="text1"/>
          <w:lang w:val="en-GB"/>
        </w:rPr>
        <w:t xml:space="preserve">As was shown above with regard to Article 2, no proper investigation was conducted in this case. </w:t>
      </w:r>
      <w:r w:rsidR="00107226" w:rsidRPr="005A3795">
        <w:rPr>
          <w:color w:val="000000" w:themeColor="text1"/>
          <w:lang w:val="en-GB"/>
        </w:rPr>
        <w:t>The Panel likewise notes that, even if he was not present at the moment of his mother’s abduction, the complainant applied to several bodies a</w:t>
      </w:r>
      <w:r w:rsidR="009A3DCF" w:rsidRPr="005A3795">
        <w:rPr>
          <w:color w:val="000000" w:themeColor="text1"/>
          <w:lang w:val="en-GB"/>
        </w:rPr>
        <w:t>nd</w:t>
      </w:r>
      <w:r w:rsidR="00107226" w:rsidRPr="005A3795">
        <w:rPr>
          <w:color w:val="000000" w:themeColor="text1"/>
          <w:lang w:val="en-GB"/>
        </w:rPr>
        <w:t xml:space="preserve"> made his own enquiries in order to obtain information about the fate of Mrs Vera </w:t>
      </w:r>
      <w:proofErr w:type="spellStart"/>
      <w:r w:rsidR="00107226" w:rsidRPr="005A3795">
        <w:rPr>
          <w:color w:val="000000" w:themeColor="text1"/>
          <w:lang w:val="en-GB"/>
        </w:rPr>
        <w:t>Škripac</w:t>
      </w:r>
      <w:proofErr w:type="spellEnd"/>
      <w:r w:rsidR="00107226" w:rsidRPr="005A3795">
        <w:rPr>
          <w:color w:val="000000" w:themeColor="text1"/>
          <w:lang w:val="en-GB"/>
        </w:rPr>
        <w:t xml:space="preserve">. </w:t>
      </w:r>
      <w:r w:rsidR="00107226" w:rsidRPr="005A3795">
        <w:rPr>
          <w:lang w:val="en-GB"/>
        </w:rPr>
        <w:t xml:space="preserve">The Panel recalls that, in 2005, the complainant expressed his dissatisfaction about not receiving any information on the status of the investigation when filing a criminal report with the DPPO in </w:t>
      </w:r>
      <w:proofErr w:type="spellStart"/>
      <w:r w:rsidR="00107226" w:rsidRPr="005A3795">
        <w:rPr>
          <w:lang w:val="en-GB"/>
        </w:rPr>
        <w:t>Prishtinë</w:t>
      </w:r>
      <w:proofErr w:type="spellEnd"/>
      <w:r w:rsidR="00107226" w:rsidRPr="005A3795">
        <w:rPr>
          <w:lang w:val="en-GB"/>
        </w:rPr>
        <w:t>/</w:t>
      </w:r>
      <w:proofErr w:type="spellStart"/>
      <w:r w:rsidR="00107226" w:rsidRPr="005A3795">
        <w:rPr>
          <w:lang w:val="en-GB"/>
        </w:rPr>
        <w:t>Priština</w:t>
      </w:r>
      <w:proofErr w:type="spellEnd"/>
      <w:r w:rsidR="00107226" w:rsidRPr="005A3795">
        <w:rPr>
          <w:lang w:val="en-GB"/>
        </w:rPr>
        <w:t xml:space="preserve"> (see § 41 above).</w:t>
      </w:r>
      <w:r w:rsidR="00107226" w:rsidRPr="005A3795">
        <w:rPr>
          <w:color w:val="000000" w:themeColor="text1"/>
          <w:lang w:val="en-GB"/>
        </w:rPr>
        <w:t xml:space="preserve"> The Panel also recalls that, according to the investigative file submitted to the Panel, no witness statement was ever taken </w:t>
      </w:r>
      <w:r w:rsidR="009A3DCF" w:rsidRPr="005A3795">
        <w:rPr>
          <w:color w:val="000000" w:themeColor="text1"/>
          <w:lang w:val="en-GB"/>
        </w:rPr>
        <w:t xml:space="preserve">from </w:t>
      </w:r>
      <w:r w:rsidR="00107226" w:rsidRPr="005A3795">
        <w:rPr>
          <w:color w:val="000000" w:themeColor="text1"/>
          <w:lang w:val="en-GB"/>
        </w:rPr>
        <w:t xml:space="preserve">the complainant or other family members, notwithstanding the fact that they had provided information to the investigators. </w:t>
      </w:r>
      <w:r w:rsidR="00107226" w:rsidRPr="005A3795">
        <w:rPr>
          <w:lang w:val="en-GB"/>
        </w:rPr>
        <w:t xml:space="preserve"> Further, The Panel reiterates that from the standpoint of Article 3 it may examine UNMIK’s reactions a</w:t>
      </w:r>
      <w:r w:rsidR="00403B5F">
        <w:rPr>
          <w:lang w:val="en-GB"/>
        </w:rPr>
        <w:t>nd attitudes to the complainant</w:t>
      </w:r>
      <w:r w:rsidR="00107226" w:rsidRPr="005A3795">
        <w:rPr>
          <w:lang w:val="en-GB"/>
        </w:rPr>
        <w:t xml:space="preserve"> in their entirety. </w:t>
      </w:r>
    </w:p>
    <w:p w:rsidR="00711F6E" w:rsidRPr="005A3795" w:rsidRDefault="00711F6E" w:rsidP="00711F6E">
      <w:pPr>
        <w:tabs>
          <w:tab w:val="left" w:pos="709"/>
        </w:tabs>
        <w:suppressAutoHyphens/>
        <w:autoSpaceDE w:val="0"/>
        <w:jc w:val="both"/>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w:t>
      </w:r>
      <w:r w:rsidR="003238D1" w:rsidRPr="005A3795">
        <w:rPr>
          <w:color w:val="000000" w:themeColor="text1"/>
          <w:lang w:val="en-GB"/>
        </w:rPr>
        <w:t>to find out what happened</w:t>
      </w:r>
      <w:r w:rsidR="009A3DCF" w:rsidRPr="005A3795">
        <w:rPr>
          <w:color w:val="000000" w:themeColor="text1"/>
          <w:lang w:val="en-GB"/>
        </w:rPr>
        <w:t xml:space="preserve"> </w:t>
      </w:r>
      <w:r w:rsidR="003238D1" w:rsidRPr="005A3795">
        <w:rPr>
          <w:color w:val="000000" w:themeColor="text1"/>
          <w:lang w:val="en-GB"/>
        </w:rPr>
        <w:t xml:space="preserve"> to his</w:t>
      </w:r>
      <w:r w:rsidRPr="005A3795">
        <w:rPr>
          <w:color w:val="000000" w:themeColor="text1"/>
          <w:lang w:val="en-GB"/>
        </w:rPr>
        <w:t xml:space="preserve"> </w:t>
      </w:r>
      <w:r w:rsidR="00107226" w:rsidRPr="005A3795">
        <w:rPr>
          <w:color w:val="000000" w:themeColor="text1"/>
          <w:lang w:val="en-GB"/>
        </w:rPr>
        <w:t>m</w:t>
      </w:r>
      <w:r w:rsidR="007C59FC" w:rsidRPr="005A3795">
        <w:rPr>
          <w:color w:val="000000" w:themeColor="text1"/>
          <w:lang w:val="en-GB"/>
        </w:rPr>
        <w:t>other</w:t>
      </w:r>
      <w:r w:rsidRPr="005A3795">
        <w:rPr>
          <w:color w:val="000000" w:themeColor="text1"/>
          <w:lang w:val="en-GB"/>
        </w:rPr>
        <w:t xml:space="preserve">. In this respect, it is obvious that, in any situation, the pain of </w:t>
      </w:r>
      <w:r w:rsidR="000D2756" w:rsidRPr="005A3795">
        <w:rPr>
          <w:color w:val="000000" w:themeColor="text1"/>
          <w:lang w:val="en-GB"/>
        </w:rPr>
        <w:t xml:space="preserve">a </w:t>
      </w:r>
      <w:r w:rsidR="00107226" w:rsidRPr="005A3795">
        <w:rPr>
          <w:color w:val="000000" w:themeColor="text1"/>
          <w:lang w:val="en-GB"/>
        </w:rPr>
        <w:t>son</w:t>
      </w:r>
      <w:r w:rsidR="00C70AD7" w:rsidRPr="005A3795">
        <w:rPr>
          <w:color w:val="000000" w:themeColor="text1"/>
          <w:lang w:val="en-GB"/>
        </w:rPr>
        <w:t xml:space="preserve"> </w:t>
      </w:r>
      <w:r w:rsidRPr="005A3795">
        <w:rPr>
          <w:color w:val="000000" w:themeColor="text1"/>
          <w:lang w:val="en-GB"/>
        </w:rPr>
        <w:t xml:space="preserve">who has to live in uncertainty about the fate of </w:t>
      </w:r>
      <w:r w:rsidR="003238D1" w:rsidRPr="005A3795">
        <w:rPr>
          <w:color w:val="000000" w:themeColor="text1"/>
          <w:lang w:val="en-GB"/>
        </w:rPr>
        <w:t xml:space="preserve">his </w:t>
      </w:r>
      <w:r w:rsidR="00107226" w:rsidRPr="005A3795">
        <w:rPr>
          <w:color w:val="000000" w:themeColor="text1"/>
          <w:lang w:val="en-GB"/>
        </w:rPr>
        <w:t>mother</w:t>
      </w:r>
      <w:r w:rsidR="00874A40" w:rsidRPr="005A3795">
        <w:rPr>
          <w:color w:val="000000" w:themeColor="text1"/>
          <w:lang w:val="en-GB"/>
        </w:rPr>
        <w:t xml:space="preserve"> </w:t>
      </w:r>
      <w:r w:rsidRPr="005A3795">
        <w:rPr>
          <w:color w:val="000000" w:themeColor="text1"/>
          <w:lang w:val="en-GB"/>
        </w:rPr>
        <w:t>must be unbearable.</w:t>
      </w:r>
    </w:p>
    <w:p w:rsidR="00711F6E" w:rsidRPr="005A3795" w:rsidRDefault="00711F6E" w:rsidP="00711F6E">
      <w:pPr>
        <w:pStyle w:val="Default"/>
        <w:tabs>
          <w:tab w:val="left" w:pos="360"/>
          <w:tab w:val="left" w:pos="709"/>
        </w:tabs>
        <w:jc w:val="both"/>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For the aforementioned reasons, the Panel concludes that, by its behaviour, UNMIK contributed to the complainant’s distress and mental suffering in violation of Article 3 of the ECHR.</w:t>
      </w:r>
    </w:p>
    <w:p w:rsidR="00711F6E" w:rsidRPr="00B62920" w:rsidRDefault="00711F6E" w:rsidP="00711F6E">
      <w:pPr>
        <w:pStyle w:val="ListParagraph"/>
        <w:rPr>
          <w:color w:val="000000" w:themeColor="text1"/>
          <w:lang w:val="en-GB"/>
        </w:rPr>
      </w:pPr>
    </w:p>
    <w:p w:rsidR="00711F6E" w:rsidRPr="00B62920" w:rsidRDefault="00711F6E" w:rsidP="00711F6E">
      <w:pPr>
        <w:pStyle w:val="Default"/>
        <w:jc w:val="both"/>
        <w:rPr>
          <w:color w:val="000000" w:themeColor="text1"/>
          <w:lang w:val="en-GB"/>
        </w:rPr>
      </w:pPr>
    </w:p>
    <w:p w:rsidR="00711F6E" w:rsidRPr="005A3795" w:rsidRDefault="00711F6E" w:rsidP="00711F6E">
      <w:pPr>
        <w:numPr>
          <w:ilvl w:val="0"/>
          <w:numId w:val="1"/>
        </w:numPr>
        <w:suppressAutoHyphens/>
        <w:autoSpaceDE w:val="0"/>
        <w:ind w:left="360" w:hanging="360"/>
        <w:jc w:val="both"/>
        <w:rPr>
          <w:color w:val="000000" w:themeColor="text1"/>
          <w:lang w:val="en-GB"/>
        </w:rPr>
      </w:pPr>
      <w:r w:rsidRPr="005A3795">
        <w:rPr>
          <w:b/>
          <w:color w:val="000000" w:themeColor="text1"/>
          <w:lang w:val="en-GB"/>
        </w:rPr>
        <w:t xml:space="preserve">CONCLUDING </w:t>
      </w:r>
      <w:r w:rsidRPr="005A3795">
        <w:rPr>
          <w:b/>
          <w:bCs/>
          <w:color w:val="000000" w:themeColor="text1"/>
          <w:lang w:val="en-GB"/>
        </w:rPr>
        <w:t>COMMENTS</w:t>
      </w:r>
      <w:r w:rsidRPr="005A3795">
        <w:rPr>
          <w:b/>
          <w:color w:val="000000" w:themeColor="text1"/>
          <w:lang w:val="en-GB"/>
        </w:rPr>
        <w:t xml:space="preserve"> AND RECOMMENDATIONS</w:t>
      </w:r>
    </w:p>
    <w:p w:rsidR="00711F6E" w:rsidRPr="005A3795" w:rsidRDefault="00711F6E" w:rsidP="00711F6E">
      <w:pPr>
        <w:pStyle w:val="ListParagraph"/>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5A3795">
        <w:rPr>
          <w:color w:val="000000" w:themeColor="text1"/>
          <w:lang w:val="en-GB"/>
        </w:rPr>
        <w:t>In light of the Panel’s findings in this case, the Panel is of the opinion that some form of reparation is necessary.</w:t>
      </w:r>
    </w:p>
    <w:p w:rsidR="00711F6E" w:rsidRPr="005A3795" w:rsidRDefault="00711F6E" w:rsidP="00711F6E">
      <w:pPr>
        <w:pStyle w:val="ListParagraph"/>
        <w:tabs>
          <w:tab w:val="num" w:pos="450"/>
        </w:tabs>
        <w:ind w:left="450" w:hanging="450"/>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5A3795">
        <w:rPr>
          <w:color w:val="000000" w:themeColor="text1"/>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w:t>
      </w:r>
      <w:r w:rsidR="00107226" w:rsidRPr="005A3795">
        <w:rPr>
          <w:color w:val="000000" w:themeColor="text1"/>
          <w:lang w:val="en-GB"/>
        </w:rPr>
        <w:t xml:space="preserve"> abduction and</w:t>
      </w:r>
      <w:r w:rsidR="006E0599" w:rsidRPr="005A3795">
        <w:rPr>
          <w:color w:val="000000" w:themeColor="text1"/>
          <w:lang w:val="en-GB"/>
        </w:rPr>
        <w:t xml:space="preserve"> </w:t>
      </w:r>
      <w:r w:rsidR="001F0511" w:rsidRPr="005A3795">
        <w:rPr>
          <w:lang w:val="en-GB"/>
        </w:rPr>
        <w:t>disappearance</w:t>
      </w:r>
      <w:r w:rsidR="00AD7F08" w:rsidRPr="005A3795">
        <w:rPr>
          <w:lang w:val="en-GB"/>
        </w:rPr>
        <w:t xml:space="preserve"> of </w:t>
      </w:r>
      <w:r w:rsidR="00107226" w:rsidRPr="005A3795">
        <w:rPr>
          <w:color w:val="000000" w:themeColor="text1"/>
          <w:lang w:val="en-GB"/>
        </w:rPr>
        <w:t xml:space="preserve">Mrs Vera </w:t>
      </w:r>
      <w:proofErr w:type="spellStart"/>
      <w:r w:rsidR="00107226" w:rsidRPr="005A3795">
        <w:rPr>
          <w:color w:val="000000" w:themeColor="text1"/>
          <w:lang w:val="en-GB"/>
        </w:rPr>
        <w:t>Škripac</w:t>
      </w:r>
      <w:proofErr w:type="spellEnd"/>
      <w:r w:rsidRPr="005A3795">
        <w:rPr>
          <w:color w:val="000000" w:themeColor="text1"/>
          <w:lang w:val="en-GB"/>
        </w:rPr>
        <w:t>, and that its failure to do so constitutes a further serious violat</w:t>
      </w:r>
      <w:r w:rsidR="000D2756" w:rsidRPr="005A3795">
        <w:rPr>
          <w:color w:val="000000" w:themeColor="text1"/>
          <w:lang w:val="en-GB"/>
        </w:rPr>
        <w:t xml:space="preserve">ion of </w:t>
      </w:r>
      <w:r w:rsidR="00874A40" w:rsidRPr="005A3795">
        <w:rPr>
          <w:color w:val="000000" w:themeColor="text1"/>
          <w:lang w:val="en-GB"/>
        </w:rPr>
        <w:t xml:space="preserve">the rights of the victim and </w:t>
      </w:r>
      <w:r w:rsidR="00C70AD7" w:rsidRPr="005A3795">
        <w:rPr>
          <w:color w:val="000000" w:themeColor="text1"/>
          <w:lang w:val="en-GB"/>
        </w:rPr>
        <w:t>his</w:t>
      </w:r>
      <w:r w:rsidRPr="005A3795">
        <w:rPr>
          <w:color w:val="000000" w:themeColor="text1"/>
          <w:lang w:val="en-GB"/>
        </w:rPr>
        <w:t xml:space="preserve"> next-of-kin, in particular the right to have the truth of the matter determined. </w:t>
      </w:r>
    </w:p>
    <w:p w:rsidR="00711F6E" w:rsidRPr="005A3795" w:rsidRDefault="00711F6E" w:rsidP="00711F6E">
      <w:pPr>
        <w:pStyle w:val="ListParagraph"/>
        <w:tabs>
          <w:tab w:val="num" w:pos="450"/>
        </w:tabs>
        <w:ind w:left="450" w:hanging="450"/>
        <w:rPr>
          <w:color w:val="000000" w:themeColor="text1"/>
          <w:lang w:val="en-GB"/>
        </w:rPr>
      </w:pPr>
    </w:p>
    <w:p w:rsidR="00711F6E" w:rsidRPr="005A3795"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5A3795">
        <w:rPr>
          <w:bCs/>
          <w:color w:val="000000" w:themeColor="text1"/>
          <w:lang w:val="en-GB"/>
        </w:rPr>
        <w:t xml:space="preserve">The </w:t>
      </w:r>
      <w:r w:rsidRPr="005A3795">
        <w:rPr>
          <w:color w:val="000000" w:themeColor="text1"/>
          <w:lang w:val="en-GB"/>
        </w:rPr>
        <w:t>Panel</w:t>
      </w:r>
      <w:r w:rsidRPr="005A3795">
        <w:rPr>
          <w:bCs/>
          <w:color w:val="000000" w:themeColor="text1"/>
          <w:lang w:val="en-GB"/>
        </w:rPr>
        <w:t xml:space="preserve"> </w:t>
      </w:r>
      <w:r w:rsidRPr="005A3795">
        <w:rPr>
          <w:color w:val="000000" w:themeColor="text1"/>
          <w:lang w:val="en-GB"/>
        </w:rPr>
        <w:t>notes</w:t>
      </w:r>
      <w:r w:rsidRPr="005A3795">
        <w:rPr>
          <w:bCs/>
          <w:color w:val="000000" w:themeColor="text1"/>
          <w:lang w:val="en-GB"/>
        </w:rPr>
        <w:t xml:space="preserve"> the SRSG’s own concerns that the inadequate resources, especially at the outset of </w:t>
      </w:r>
      <w:r w:rsidRPr="005A3795">
        <w:rPr>
          <w:color w:val="000000" w:themeColor="text1"/>
          <w:lang w:val="en-GB"/>
        </w:rPr>
        <w:t>UNMIK’s</w:t>
      </w:r>
      <w:r w:rsidRPr="005A3795">
        <w:rPr>
          <w:bCs/>
          <w:color w:val="000000" w:themeColor="text1"/>
          <w:lang w:val="en-GB"/>
        </w:rPr>
        <w:t xml:space="preserve"> mission, made compliance with UNMIK’s human rights obligations difficult to achieve.</w:t>
      </w:r>
    </w:p>
    <w:p w:rsidR="00711F6E" w:rsidRPr="005A3795" w:rsidRDefault="00711F6E" w:rsidP="00711F6E">
      <w:pPr>
        <w:pStyle w:val="ListParagraph"/>
        <w:tabs>
          <w:tab w:val="num" w:pos="450"/>
        </w:tabs>
        <w:ind w:left="450" w:hanging="450"/>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5A3795">
        <w:rPr>
          <w:color w:val="000000" w:themeColor="text1"/>
          <w:lang w:val="en-GB"/>
        </w:rPr>
        <w:t xml:space="preserve">It </w:t>
      </w:r>
      <w:r w:rsidRPr="005A3795">
        <w:rPr>
          <w:bCs/>
          <w:color w:val="000000" w:themeColor="text1"/>
          <w:lang w:val="en-GB"/>
        </w:rPr>
        <w:t>would</w:t>
      </w:r>
      <w:r w:rsidRPr="005A3795">
        <w:rPr>
          <w:color w:val="000000" w:themeColor="text1"/>
          <w:lang w:val="en-GB"/>
        </w:rPr>
        <w:t xml:space="preserve"> normally be for UNMIK to take the appropriate measures in order to put an end to the violation noted and to redress as far as possible the effects thereof</w:t>
      </w:r>
      <w:r w:rsidRPr="00B62920">
        <w:rPr>
          <w:color w:val="000000" w:themeColor="text1"/>
          <w:lang w:val="en-GB"/>
        </w:rPr>
        <w:t xml:space="preserve">. However, as the Panel noted above (see § </w:t>
      </w:r>
      <w:r w:rsidR="000D2756" w:rsidRPr="00B62920">
        <w:fldChar w:fldCharType="begin"/>
      </w:r>
      <w:r w:rsidR="000D2756" w:rsidRPr="00B62920">
        <w:rPr>
          <w:color w:val="000000" w:themeColor="text1"/>
          <w:lang w:val="en-GB"/>
        </w:rPr>
        <w:instrText xml:space="preserve"> REF _Ref346123927 \r \h </w:instrText>
      </w:r>
      <w:r w:rsidR="000D2756" w:rsidRPr="00B62920">
        <w:instrText xml:space="preserve"> \* MERGEFORMAT </w:instrText>
      </w:r>
      <w:r w:rsidR="000D2756" w:rsidRPr="00B62920">
        <w:fldChar w:fldCharType="separate"/>
      </w:r>
      <w:r w:rsidR="00C60385">
        <w:rPr>
          <w:color w:val="000000" w:themeColor="text1"/>
          <w:lang w:val="en-GB"/>
        </w:rPr>
        <w:t>19</w:t>
      </w:r>
      <w:r w:rsidR="000D2756" w:rsidRPr="00B62920">
        <w:fldChar w:fldCharType="end"/>
      </w:r>
      <w:r w:rsidRPr="00B62920">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B62920">
        <w:rPr>
          <w:bCs/>
          <w:color w:val="000000" w:themeColor="text1"/>
          <w:lang w:val="en-GB"/>
        </w:rPr>
        <w:t>human</w:t>
      </w:r>
      <w:r w:rsidRPr="00B62920">
        <w:rPr>
          <w:color w:val="000000" w:themeColor="text1"/>
          <w:lang w:val="en-GB"/>
        </w:rPr>
        <w:t xml:space="preserve"> rights law.  </w:t>
      </w:r>
    </w:p>
    <w:p w:rsidR="00711F6E" w:rsidRPr="00B62920" w:rsidRDefault="00711F6E" w:rsidP="00711F6E">
      <w:pPr>
        <w:pStyle w:val="ListParagraph"/>
        <w:rPr>
          <w:color w:val="000000" w:themeColor="text1"/>
          <w:lang w:val="en-GB"/>
        </w:rPr>
      </w:pPr>
    </w:p>
    <w:p w:rsidR="00711F6E" w:rsidRPr="00B62920"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B62920">
        <w:rPr>
          <w:color w:val="000000" w:themeColor="text1"/>
          <w:lang w:val="en-GB"/>
        </w:rPr>
        <w:t xml:space="preserve">The Panel considers that this </w:t>
      </w:r>
      <w:r w:rsidRPr="00B62920">
        <w:rPr>
          <w:bCs/>
          <w:color w:val="000000" w:themeColor="text1"/>
          <w:lang w:val="en-GB"/>
        </w:rPr>
        <w:t>factual</w:t>
      </w:r>
      <w:r w:rsidRPr="00B62920">
        <w:rPr>
          <w:color w:val="000000" w:themeColor="text1"/>
          <w:lang w:val="en-GB"/>
        </w:rPr>
        <w:t xml:space="preserve"> situation does not relieve UNMIK from its obligation to redress as far as possible the effects of the violations for which it is responsible. </w:t>
      </w:r>
    </w:p>
    <w:p w:rsidR="00711F6E" w:rsidRPr="00B62920" w:rsidRDefault="00711F6E" w:rsidP="00711F6E">
      <w:pPr>
        <w:pStyle w:val="ListParagraph"/>
        <w:rPr>
          <w:b/>
          <w:bCs/>
          <w:color w:val="000000" w:themeColor="text1"/>
          <w:lang w:val="en-GB"/>
        </w:rPr>
      </w:pPr>
    </w:p>
    <w:p w:rsidR="00711F6E" w:rsidRPr="00B62920" w:rsidRDefault="00711F6E" w:rsidP="00711F6E">
      <w:pPr>
        <w:suppressAutoHyphens/>
        <w:autoSpaceDE w:val="0"/>
        <w:ind w:left="450"/>
        <w:jc w:val="both"/>
        <w:rPr>
          <w:b/>
          <w:bCs/>
          <w:color w:val="000000" w:themeColor="text1"/>
          <w:lang w:val="en-GB"/>
        </w:rPr>
      </w:pPr>
      <w:r w:rsidRPr="00B62920">
        <w:rPr>
          <w:b/>
          <w:bCs/>
          <w:color w:val="000000" w:themeColor="text1"/>
          <w:lang w:val="en-GB"/>
        </w:rPr>
        <w:t>With respect to the complainant and the case the Panel considers appropriate that UNMIK:</w:t>
      </w:r>
    </w:p>
    <w:p w:rsidR="00711F6E" w:rsidRPr="00B62920" w:rsidRDefault="00711F6E" w:rsidP="00711F6E">
      <w:pPr>
        <w:pStyle w:val="ListParagraph"/>
        <w:rPr>
          <w:b/>
          <w:bCs/>
          <w:color w:val="000000" w:themeColor="text1"/>
          <w:lang w:val="en-GB"/>
        </w:rPr>
      </w:pPr>
    </w:p>
    <w:p w:rsidR="00711F6E" w:rsidRPr="005A3795" w:rsidRDefault="00711F6E" w:rsidP="00E114D9">
      <w:pPr>
        <w:numPr>
          <w:ilvl w:val="2"/>
          <w:numId w:val="2"/>
        </w:numPr>
        <w:tabs>
          <w:tab w:val="left" w:pos="900"/>
        </w:tabs>
        <w:suppressAutoHyphens/>
        <w:autoSpaceDE w:val="0"/>
        <w:ind w:left="720" w:firstLine="0"/>
        <w:jc w:val="both"/>
        <w:rPr>
          <w:b/>
          <w:bCs/>
          <w:color w:val="000000" w:themeColor="text1"/>
          <w:lang w:val="en-GB"/>
        </w:rPr>
      </w:pPr>
      <w:r w:rsidRPr="005A3795">
        <w:rPr>
          <w:color w:val="000000" w:themeColor="text1"/>
          <w:lang w:val="en-GB"/>
        </w:rPr>
        <w:t xml:space="preserve">In line with the case law of the European Court of Human Rights on situations of limited State </w:t>
      </w:r>
      <w:r w:rsidRPr="005A3795">
        <w:rPr>
          <w:lang w:val="en-GB"/>
        </w:rPr>
        <w:t>jurisdiction</w:t>
      </w:r>
      <w:r w:rsidRPr="005A3795">
        <w:rPr>
          <w:color w:val="000000" w:themeColor="text1"/>
          <w:lang w:val="en-GB"/>
        </w:rPr>
        <w:t xml:space="preserve"> (see </w:t>
      </w:r>
      <w:proofErr w:type="spellStart"/>
      <w:r w:rsidRPr="005A3795">
        <w:rPr>
          <w:color w:val="000000" w:themeColor="text1"/>
          <w:lang w:val="en-GB"/>
        </w:rPr>
        <w:t>ECtHR</w:t>
      </w:r>
      <w:proofErr w:type="spellEnd"/>
      <w:r w:rsidRPr="005A3795">
        <w:rPr>
          <w:color w:val="000000" w:themeColor="text1"/>
          <w:lang w:val="en-GB"/>
        </w:rPr>
        <w:t xml:space="preserve"> [GC], </w:t>
      </w:r>
      <w:proofErr w:type="spellStart"/>
      <w:r w:rsidRPr="005A3795">
        <w:rPr>
          <w:i/>
          <w:color w:val="000000" w:themeColor="text1"/>
          <w:lang w:val="en-GB"/>
        </w:rPr>
        <w:t>Ilaşcu</w:t>
      </w:r>
      <w:proofErr w:type="spellEnd"/>
      <w:r w:rsidRPr="005A3795">
        <w:rPr>
          <w:i/>
          <w:color w:val="000000" w:themeColor="text1"/>
          <w:lang w:val="en-GB"/>
        </w:rPr>
        <w:t xml:space="preserve"> and Others v. Moldova and Russia</w:t>
      </w:r>
      <w:r w:rsidRPr="005A3795">
        <w:rPr>
          <w:color w:val="000000" w:themeColor="text1"/>
          <w:lang w:val="en-GB"/>
        </w:rPr>
        <w:t xml:space="preserve">, cited in § </w:t>
      </w:r>
      <w:r w:rsidRPr="005A3795">
        <w:fldChar w:fldCharType="begin"/>
      </w:r>
      <w:r w:rsidRPr="005A3795">
        <w:instrText xml:space="preserve"> REF _Ref401074681 \r \h  \* MERGEFORMAT </w:instrText>
      </w:r>
      <w:r w:rsidRPr="005A3795">
        <w:fldChar w:fldCharType="separate"/>
      </w:r>
      <w:r w:rsidR="00C60385" w:rsidRPr="00C60385">
        <w:rPr>
          <w:color w:val="000000" w:themeColor="text1"/>
          <w:lang w:val="en-GB"/>
        </w:rPr>
        <w:t>121</w:t>
      </w:r>
      <w:r w:rsidRPr="005A3795">
        <w:fldChar w:fldCharType="end"/>
      </w:r>
      <w:r w:rsidRPr="005A3795">
        <w:rPr>
          <w:color w:val="000000" w:themeColor="text1"/>
          <w:lang w:val="en-GB"/>
        </w:rPr>
        <w:t xml:space="preserve"> above, at § 333; </w:t>
      </w:r>
      <w:proofErr w:type="spellStart"/>
      <w:r w:rsidRPr="005A3795">
        <w:rPr>
          <w:color w:val="000000" w:themeColor="text1"/>
          <w:lang w:val="en-GB"/>
        </w:rPr>
        <w:t>ECtHR</w:t>
      </w:r>
      <w:proofErr w:type="spellEnd"/>
      <w:r w:rsidRPr="005A3795">
        <w:rPr>
          <w:color w:val="000000" w:themeColor="text1"/>
          <w:lang w:val="en-GB"/>
        </w:rPr>
        <w:t xml:space="preserve">, </w:t>
      </w:r>
      <w:r w:rsidRPr="005A3795">
        <w:rPr>
          <w:i/>
          <w:color w:val="000000" w:themeColor="text1"/>
          <w:lang w:val="en-GB"/>
        </w:rPr>
        <w:t>Al-</w:t>
      </w:r>
      <w:proofErr w:type="spellStart"/>
      <w:r w:rsidRPr="005A3795">
        <w:rPr>
          <w:i/>
          <w:color w:val="000000" w:themeColor="text1"/>
          <w:lang w:val="en-GB"/>
        </w:rPr>
        <w:t>Saadoon</w:t>
      </w:r>
      <w:proofErr w:type="spellEnd"/>
      <w:r w:rsidRPr="005A3795">
        <w:rPr>
          <w:i/>
          <w:color w:val="000000" w:themeColor="text1"/>
          <w:lang w:val="en-GB"/>
        </w:rPr>
        <w:t xml:space="preserve"> and </w:t>
      </w:r>
      <w:proofErr w:type="spellStart"/>
      <w:r w:rsidRPr="005A3795">
        <w:rPr>
          <w:i/>
          <w:color w:val="000000" w:themeColor="text1"/>
          <w:lang w:val="en-GB"/>
        </w:rPr>
        <w:t>Mufdhi</w:t>
      </w:r>
      <w:proofErr w:type="spellEnd"/>
      <w:r w:rsidRPr="005A3795">
        <w:rPr>
          <w:i/>
          <w:color w:val="000000" w:themeColor="text1"/>
          <w:lang w:val="en-GB"/>
        </w:rPr>
        <w:t xml:space="preserve"> v. United Kingdom</w:t>
      </w:r>
      <w:r w:rsidRPr="005A3795">
        <w:rPr>
          <w:color w:val="000000" w:themeColor="text1"/>
          <w:lang w:val="en-GB"/>
        </w:rPr>
        <w:t xml:space="preserve">, no. 61498/08, judgment of 2 March 2010, § 171; </w:t>
      </w:r>
      <w:proofErr w:type="spellStart"/>
      <w:r w:rsidRPr="005A3795">
        <w:rPr>
          <w:color w:val="000000" w:themeColor="text1"/>
          <w:lang w:val="en-GB"/>
        </w:rPr>
        <w:t>ECtHR</w:t>
      </w:r>
      <w:proofErr w:type="spellEnd"/>
      <w:r w:rsidRPr="005A3795">
        <w:rPr>
          <w:color w:val="000000" w:themeColor="text1"/>
          <w:lang w:val="en-GB"/>
        </w:rPr>
        <w:t xml:space="preserve"> [GC], </w:t>
      </w:r>
      <w:proofErr w:type="spellStart"/>
      <w:r w:rsidRPr="005A3795">
        <w:rPr>
          <w:i/>
          <w:color w:val="000000" w:themeColor="text1"/>
          <w:lang w:val="en-GB"/>
        </w:rPr>
        <w:t>Catan</w:t>
      </w:r>
      <w:proofErr w:type="spellEnd"/>
      <w:r w:rsidRPr="005A3795">
        <w:rPr>
          <w:i/>
          <w:color w:val="000000" w:themeColor="text1"/>
          <w:lang w:val="en-GB"/>
        </w:rPr>
        <w:t xml:space="preserve"> and Others v. Moldova and Russia</w:t>
      </w:r>
      <w:r w:rsidRPr="005A3795">
        <w:rPr>
          <w:color w:val="000000" w:themeColor="text1"/>
          <w:lang w:val="en-GB"/>
        </w:rPr>
        <w:t xml:space="preserve">, nos. 43370/04, 8252/05 and 18454/06, judgment of 19 October 2012, § 109), must endeavour, with all the means available to it </w:t>
      </w:r>
      <w:r w:rsidRPr="005A3795">
        <w:rPr>
          <w:i/>
          <w:color w:val="000000" w:themeColor="text1"/>
          <w:lang w:val="en-GB"/>
        </w:rPr>
        <w:t>vis-à-vis</w:t>
      </w:r>
      <w:r w:rsidRPr="005A3795">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5A3795">
        <w:rPr>
          <w:bCs/>
          <w:color w:val="000000" w:themeColor="text1"/>
          <w:lang w:val="en-GB"/>
        </w:rPr>
        <w:t>the</w:t>
      </w:r>
      <w:r w:rsidR="00874A40" w:rsidRPr="005A3795">
        <w:rPr>
          <w:bCs/>
          <w:color w:val="000000" w:themeColor="text1"/>
          <w:lang w:val="en-GB"/>
        </w:rPr>
        <w:t xml:space="preserve"> </w:t>
      </w:r>
      <w:r w:rsidR="001F0511" w:rsidRPr="005A3795">
        <w:rPr>
          <w:lang w:val="en-GB"/>
        </w:rPr>
        <w:t>disappearance</w:t>
      </w:r>
      <w:r w:rsidR="00AD7F08" w:rsidRPr="005A3795">
        <w:rPr>
          <w:lang w:val="en-GB"/>
        </w:rPr>
        <w:t xml:space="preserve"> of </w:t>
      </w:r>
      <w:r w:rsidR="00107226" w:rsidRPr="005A3795">
        <w:rPr>
          <w:color w:val="000000" w:themeColor="text1"/>
          <w:lang w:val="en-GB"/>
        </w:rPr>
        <w:t xml:space="preserve">the abduction and </w:t>
      </w:r>
      <w:r w:rsidR="00107226" w:rsidRPr="005A3795">
        <w:rPr>
          <w:lang w:val="en-GB"/>
        </w:rPr>
        <w:t xml:space="preserve">disappearance of </w:t>
      </w:r>
      <w:r w:rsidR="00107226" w:rsidRPr="005A3795">
        <w:rPr>
          <w:color w:val="000000" w:themeColor="text1"/>
          <w:lang w:val="en-GB"/>
        </w:rPr>
        <w:t xml:space="preserve">Mrs Vera </w:t>
      </w:r>
      <w:proofErr w:type="spellStart"/>
      <w:r w:rsidR="00107226" w:rsidRPr="005A3795">
        <w:rPr>
          <w:color w:val="000000" w:themeColor="text1"/>
          <w:lang w:val="en-GB"/>
        </w:rPr>
        <w:t>Škripac</w:t>
      </w:r>
      <w:proofErr w:type="spellEnd"/>
      <w:r w:rsidR="00107226" w:rsidRPr="005A3795">
        <w:rPr>
          <w:color w:val="000000" w:themeColor="text1"/>
          <w:lang w:val="en-GB"/>
        </w:rPr>
        <w:t xml:space="preserve"> </w:t>
      </w:r>
      <w:r w:rsidRPr="005A3795">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5A3795" w:rsidRDefault="00711F6E" w:rsidP="00711F6E">
      <w:pPr>
        <w:suppressAutoHyphens/>
        <w:autoSpaceDE w:val="0"/>
        <w:ind w:left="426"/>
        <w:jc w:val="both"/>
        <w:rPr>
          <w:b/>
          <w:bCs/>
          <w:color w:val="000000" w:themeColor="text1"/>
          <w:lang w:val="en-GB"/>
        </w:rPr>
      </w:pPr>
    </w:p>
    <w:p w:rsidR="00711F6E" w:rsidRPr="005A3795" w:rsidRDefault="00711F6E" w:rsidP="00E114D9">
      <w:pPr>
        <w:numPr>
          <w:ilvl w:val="2"/>
          <w:numId w:val="2"/>
        </w:numPr>
        <w:tabs>
          <w:tab w:val="left" w:pos="900"/>
        </w:tabs>
        <w:suppressAutoHyphens/>
        <w:autoSpaceDE w:val="0"/>
        <w:ind w:left="720" w:firstLine="0"/>
        <w:jc w:val="both"/>
        <w:rPr>
          <w:bCs/>
          <w:color w:val="000000" w:themeColor="text1"/>
          <w:lang w:val="en-GB"/>
        </w:rPr>
      </w:pPr>
      <w:r w:rsidRPr="005A3795">
        <w:rPr>
          <w:bCs/>
          <w:color w:val="000000" w:themeColor="text1"/>
          <w:lang w:val="en-GB"/>
        </w:rPr>
        <w:t xml:space="preserve">Publicly </w:t>
      </w:r>
      <w:r w:rsidRPr="005A3795">
        <w:rPr>
          <w:color w:val="000000" w:themeColor="text1"/>
          <w:lang w:val="en-GB"/>
        </w:rPr>
        <w:t>acknowledges</w:t>
      </w:r>
      <w:r w:rsidRPr="005A3795">
        <w:rPr>
          <w:bCs/>
          <w:color w:val="000000" w:themeColor="text1"/>
          <w:lang w:val="en-GB"/>
        </w:rPr>
        <w:t>, including through media</w:t>
      </w:r>
      <w:r w:rsidR="00874A40" w:rsidRPr="005A3795">
        <w:rPr>
          <w:bCs/>
          <w:color w:val="000000" w:themeColor="text1"/>
          <w:lang w:val="en-GB"/>
        </w:rPr>
        <w:t>,</w:t>
      </w:r>
      <w:r w:rsidRPr="005A3795">
        <w:rPr>
          <w:color w:val="000000" w:themeColor="text1"/>
          <w:lang w:val="en-GB"/>
        </w:rPr>
        <w:t xml:space="preserve"> within</w:t>
      </w:r>
      <w:r w:rsidRPr="005A3795">
        <w:rPr>
          <w:bCs/>
          <w:color w:val="000000" w:themeColor="text1"/>
          <w:lang w:val="en-GB"/>
        </w:rPr>
        <w:t xml:space="preserve"> a reasonable time, responsibility with respect to UNMIK’s </w:t>
      </w:r>
      <w:r w:rsidRPr="005A3795">
        <w:rPr>
          <w:color w:val="000000" w:themeColor="text1"/>
          <w:lang w:val="en-GB"/>
        </w:rPr>
        <w:t>failure</w:t>
      </w:r>
      <w:r w:rsidR="00107226" w:rsidRPr="005A3795">
        <w:rPr>
          <w:bCs/>
          <w:color w:val="000000" w:themeColor="text1"/>
          <w:lang w:val="en-GB"/>
        </w:rPr>
        <w:t xml:space="preserve"> to adequately investigate </w:t>
      </w:r>
      <w:r w:rsidR="00107226" w:rsidRPr="005A3795">
        <w:rPr>
          <w:color w:val="000000" w:themeColor="text1"/>
          <w:lang w:val="en-GB"/>
        </w:rPr>
        <w:t xml:space="preserve">the abduction and </w:t>
      </w:r>
      <w:r w:rsidR="00107226" w:rsidRPr="005A3795">
        <w:rPr>
          <w:lang w:val="en-GB"/>
        </w:rPr>
        <w:t xml:space="preserve">disappearance of </w:t>
      </w:r>
      <w:r w:rsidR="00107226" w:rsidRPr="005A3795">
        <w:rPr>
          <w:color w:val="000000" w:themeColor="text1"/>
          <w:lang w:val="en-GB"/>
        </w:rPr>
        <w:t xml:space="preserve">Mrs Vera </w:t>
      </w:r>
      <w:proofErr w:type="spellStart"/>
      <w:r w:rsidR="00107226" w:rsidRPr="005A3795">
        <w:rPr>
          <w:color w:val="000000" w:themeColor="text1"/>
          <w:lang w:val="en-GB"/>
        </w:rPr>
        <w:t>Škripac</w:t>
      </w:r>
      <w:proofErr w:type="spellEnd"/>
      <w:r w:rsidRPr="005A3795">
        <w:rPr>
          <w:color w:val="000000" w:themeColor="text1"/>
          <w:lang w:val="en-GB"/>
        </w:rPr>
        <w:t xml:space="preserve">, </w:t>
      </w:r>
      <w:r w:rsidRPr="005A3795">
        <w:rPr>
          <w:bCs/>
          <w:color w:val="000000" w:themeColor="text1"/>
          <w:lang w:val="en-GB"/>
        </w:rPr>
        <w:t xml:space="preserve">as </w:t>
      </w:r>
      <w:r w:rsidRPr="005A3795">
        <w:rPr>
          <w:color w:val="000000" w:themeColor="text1"/>
          <w:lang w:val="en-GB"/>
        </w:rPr>
        <w:t>well</w:t>
      </w:r>
      <w:r w:rsidRPr="005A3795">
        <w:rPr>
          <w:bCs/>
          <w:color w:val="000000" w:themeColor="text1"/>
          <w:lang w:val="en-GB"/>
        </w:rPr>
        <w:t xml:space="preserve"> as the distress and mental suffering subsequently incurred</w:t>
      </w:r>
      <w:r w:rsidR="00DD33CB" w:rsidRPr="005A3795">
        <w:rPr>
          <w:bCs/>
          <w:color w:val="000000" w:themeColor="text1"/>
          <w:lang w:val="en-GB"/>
        </w:rPr>
        <w:t xml:space="preserve"> by the complainant</w:t>
      </w:r>
      <w:r w:rsidRPr="005A3795">
        <w:rPr>
          <w:bCs/>
          <w:color w:val="000000" w:themeColor="text1"/>
          <w:lang w:val="en-GB"/>
        </w:rPr>
        <w:t>, and makes a public ap</w:t>
      </w:r>
      <w:r w:rsidR="00874A40" w:rsidRPr="005A3795">
        <w:rPr>
          <w:bCs/>
          <w:color w:val="000000" w:themeColor="text1"/>
          <w:lang w:val="en-GB"/>
        </w:rPr>
        <w:t xml:space="preserve">ology to </w:t>
      </w:r>
      <w:r w:rsidR="003238D1" w:rsidRPr="005A3795">
        <w:rPr>
          <w:bCs/>
          <w:color w:val="000000" w:themeColor="text1"/>
          <w:lang w:val="en-GB"/>
        </w:rPr>
        <w:t>him</w:t>
      </w:r>
      <w:r w:rsidR="00874A40" w:rsidRPr="005A3795">
        <w:rPr>
          <w:bCs/>
          <w:color w:val="000000" w:themeColor="text1"/>
          <w:lang w:val="en-GB"/>
        </w:rPr>
        <w:t xml:space="preserve"> and </w:t>
      </w:r>
      <w:r w:rsidR="003238D1" w:rsidRPr="005A3795">
        <w:rPr>
          <w:bCs/>
          <w:color w:val="000000" w:themeColor="text1"/>
          <w:lang w:val="en-GB"/>
        </w:rPr>
        <w:t>his</w:t>
      </w:r>
      <w:r w:rsidRPr="005A3795">
        <w:rPr>
          <w:bCs/>
          <w:color w:val="000000" w:themeColor="text1"/>
          <w:lang w:val="en-GB"/>
        </w:rPr>
        <w:t xml:space="preserve"> family in this regard;</w:t>
      </w:r>
    </w:p>
    <w:p w:rsidR="00711F6E" w:rsidRPr="005A3795" w:rsidRDefault="00711F6E" w:rsidP="00711F6E">
      <w:pPr>
        <w:tabs>
          <w:tab w:val="left" w:pos="900"/>
        </w:tabs>
        <w:suppressAutoHyphens/>
        <w:autoSpaceDE w:val="0"/>
        <w:ind w:left="720"/>
        <w:jc w:val="both"/>
        <w:rPr>
          <w:color w:val="000000" w:themeColor="text1"/>
          <w:lang w:val="en-GB"/>
        </w:rPr>
      </w:pPr>
    </w:p>
    <w:p w:rsidR="00711F6E" w:rsidRPr="00B62920" w:rsidRDefault="00711F6E" w:rsidP="00E114D9">
      <w:pPr>
        <w:numPr>
          <w:ilvl w:val="2"/>
          <w:numId w:val="2"/>
        </w:numPr>
        <w:tabs>
          <w:tab w:val="left" w:pos="900"/>
        </w:tabs>
        <w:suppressAutoHyphens/>
        <w:autoSpaceDE w:val="0"/>
        <w:ind w:left="720" w:firstLine="0"/>
        <w:jc w:val="both"/>
        <w:rPr>
          <w:color w:val="000000" w:themeColor="text1"/>
          <w:lang w:val="en-GB"/>
        </w:rPr>
      </w:pPr>
      <w:r w:rsidRPr="005A3795">
        <w:rPr>
          <w:color w:val="000000" w:themeColor="text1"/>
          <w:lang w:val="en-GB"/>
        </w:rPr>
        <w:t xml:space="preserve">Takes appropriate steps towards payment of adequate compensation to the complainant for the </w:t>
      </w:r>
      <w:r w:rsidRPr="005A3795">
        <w:rPr>
          <w:bCs/>
          <w:color w:val="000000" w:themeColor="text1"/>
          <w:lang w:val="en-GB"/>
        </w:rPr>
        <w:t>moral</w:t>
      </w:r>
      <w:r w:rsidRPr="005A3795">
        <w:rPr>
          <w:color w:val="000000" w:themeColor="text1"/>
          <w:lang w:val="en-GB"/>
        </w:rPr>
        <w:t xml:space="preserve"> </w:t>
      </w:r>
      <w:r w:rsidRPr="005A3795">
        <w:rPr>
          <w:bCs/>
          <w:color w:val="000000" w:themeColor="text1"/>
          <w:lang w:val="en-GB"/>
        </w:rPr>
        <w:t>damage</w:t>
      </w:r>
      <w:r w:rsidRPr="005A3795">
        <w:rPr>
          <w:color w:val="000000" w:themeColor="text1"/>
          <w:lang w:val="en-GB"/>
        </w:rPr>
        <w:t xml:space="preserve"> suffered due to UNMIK’s failure</w:t>
      </w:r>
      <w:r w:rsidRPr="00B62920">
        <w:rPr>
          <w:color w:val="000000" w:themeColor="text1"/>
          <w:lang w:val="en-GB"/>
        </w:rPr>
        <w:t xml:space="preserve"> to conduct an effective investigation as well as for distress and </w:t>
      </w:r>
      <w:r w:rsidRPr="00B62920">
        <w:rPr>
          <w:bCs/>
          <w:color w:val="000000" w:themeColor="text1"/>
          <w:lang w:val="en-GB"/>
        </w:rPr>
        <w:t xml:space="preserve">mental suffering </w:t>
      </w:r>
      <w:r w:rsidRPr="00B62920">
        <w:rPr>
          <w:color w:val="000000" w:themeColor="text1"/>
          <w:lang w:val="en-GB"/>
        </w:rPr>
        <w:t>incurred by h</w:t>
      </w:r>
      <w:r w:rsidR="003238D1">
        <w:rPr>
          <w:color w:val="000000" w:themeColor="text1"/>
          <w:lang w:val="en-GB"/>
        </w:rPr>
        <w:t>im</w:t>
      </w:r>
      <w:r w:rsidRPr="00B62920">
        <w:rPr>
          <w:color w:val="000000" w:themeColor="text1"/>
          <w:lang w:val="en-GB"/>
        </w:rPr>
        <w:t xml:space="preserve"> as a consequence of UNMIK’s behaviour.</w:t>
      </w:r>
    </w:p>
    <w:p w:rsidR="00453993" w:rsidRPr="00B62920" w:rsidRDefault="00453993" w:rsidP="00874A40">
      <w:pPr>
        <w:suppressAutoHyphens/>
        <w:autoSpaceDE w:val="0"/>
        <w:jc w:val="both"/>
        <w:rPr>
          <w:b/>
          <w:bCs/>
          <w:color w:val="000000" w:themeColor="text1"/>
          <w:lang w:val="en-GB"/>
        </w:rPr>
      </w:pPr>
    </w:p>
    <w:p w:rsidR="00711F6E" w:rsidRPr="00B62920" w:rsidRDefault="00711F6E" w:rsidP="00711F6E">
      <w:pPr>
        <w:suppressAutoHyphens/>
        <w:autoSpaceDE w:val="0"/>
        <w:ind w:left="450"/>
        <w:jc w:val="both"/>
        <w:rPr>
          <w:b/>
          <w:bCs/>
          <w:color w:val="000000" w:themeColor="text1"/>
          <w:lang w:val="en-GB"/>
        </w:rPr>
      </w:pPr>
      <w:r w:rsidRPr="00B62920">
        <w:rPr>
          <w:b/>
          <w:bCs/>
          <w:color w:val="000000" w:themeColor="text1"/>
          <w:lang w:val="en-GB"/>
        </w:rPr>
        <w:t>The Panel also considers appropriate that UNMIK:</w:t>
      </w:r>
    </w:p>
    <w:p w:rsidR="00711F6E" w:rsidRPr="00B62920" w:rsidRDefault="00711F6E" w:rsidP="00711F6E">
      <w:pPr>
        <w:rPr>
          <w:color w:val="000000" w:themeColor="text1"/>
          <w:lang w:val="en-GB"/>
        </w:rPr>
      </w:pPr>
    </w:p>
    <w:p w:rsidR="00711F6E" w:rsidRPr="00B62920" w:rsidRDefault="00711F6E" w:rsidP="00E114D9">
      <w:pPr>
        <w:numPr>
          <w:ilvl w:val="2"/>
          <w:numId w:val="2"/>
        </w:numPr>
        <w:tabs>
          <w:tab w:val="left" w:pos="900"/>
        </w:tabs>
        <w:suppressAutoHyphens/>
        <w:autoSpaceDE w:val="0"/>
        <w:ind w:left="720" w:firstLine="0"/>
        <w:jc w:val="both"/>
        <w:rPr>
          <w:color w:val="000000" w:themeColor="text1"/>
          <w:lang w:val="en-GB"/>
        </w:rPr>
      </w:pPr>
      <w:r w:rsidRPr="00B62920">
        <w:rPr>
          <w:bCs/>
          <w:color w:val="000000" w:themeColor="text1"/>
          <w:lang w:val="en-GB"/>
        </w:rPr>
        <w:t xml:space="preserve">In line </w:t>
      </w:r>
      <w:r w:rsidRPr="00B62920">
        <w:rPr>
          <w:color w:val="000000" w:themeColor="text1"/>
          <w:lang w:val="en-GB"/>
        </w:rPr>
        <w:t>with</w:t>
      </w:r>
      <w:r w:rsidRPr="00B62920">
        <w:rPr>
          <w:bCs/>
          <w:color w:val="000000" w:themeColor="text1"/>
          <w:lang w:val="en-GB"/>
        </w:rPr>
        <w:t xml:space="preserve"> the UN </w:t>
      </w:r>
      <w:r w:rsidRPr="00B62920">
        <w:rPr>
          <w:color w:val="000000" w:themeColor="text1"/>
          <w:lang w:val="en-GB"/>
        </w:rPr>
        <w:t>General</w:t>
      </w:r>
      <w:r w:rsidRPr="00B62920">
        <w:rPr>
          <w:bCs/>
          <w:color w:val="000000" w:themeColor="text1"/>
          <w:lang w:val="en-GB"/>
        </w:rPr>
        <w:t xml:space="preserve"> Assembly Resolution on “Basic Principles and </w:t>
      </w:r>
      <w:r w:rsidRPr="00B62920">
        <w:rPr>
          <w:color w:val="000000" w:themeColor="text1"/>
          <w:lang w:val="en-GB"/>
        </w:rPr>
        <w:t>Guidelines</w:t>
      </w:r>
      <w:r w:rsidRPr="00B62920">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B62920">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B62920" w:rsidRDefault="00711F6E" w:rsidP="00711F6E">
      <w:pPr>
        <w:tabs>
          <w:tab w:val="left" w:pos="900"/>
        </w:tabs>
        <w:suppressAutoHyphens/>
        <w:autoSpaceDE w:val="0"/>
        <w:ind w:left="720"/>
        <w:jc w:val="both"/>
        <w:rPr>
          <w:color w:val="000000" w:themeColor="text1"/>
          <w:lang w:val="en-GB"/>
        </w:rPr>
      </w:pPr>
    </w:p>
    <w:p w:rsidR="00711F6E" w:rsidRPr="00B62920" w:rsidRDefault="00711F6E" w:rsidP="00E114D9">
      <w:pPr>
        <w:numPr>
          <w:ilvl w:val="2"/>
          <w:numId w:val="2"/>
        </w:numPr>
        <w:tabs>
          <w:tab w:val="left" w:pos="900"/>
        </w:tabs>
        <w:suppressAutoHyphens/>
        <w:autoSpaceDE w:val="0"/>
        <w:ind w:left="720" w:firstLine="0"/>
        <w:jc w:val="both"/>
        <w:rPr>
          <w:color w:val="000000" w:themeColor="text1"/>
          <w:lang w:val="en-GB"/>
        </w:rPr>
      </w:pPr>
      <w:r w:rsidRPr="00B62920">
        <w:rPr>
          <w:color w:val="000000" w:themeColor="text1"/>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711F6E" w:rsidRPr="00B62920" w:rsidRDefault="00711F6E" w:rsidP="00711F6E">
      <w:pPr>
        <w:rPr>
          <w:color w:val="000000" w:themeColor="text1"/>
          <w:lang w:val="en-GB"/>
        </w:rPr>
      </w:pPr>
    </w:p>
    <w:p w:rsidR="00711F6E" w:rsidRPr="00B62920" w:rsidRDefault="00711F6E" w:rsidP="00711F6E">
      <w:pPr>
        <w:rPr>
          <w:color w:val="000000" w:themeColor="text1"/>
          <w:lang w:val="en-GB"/>
        </w:rPr>
      </w:pPr>
    </w:p>
    <w:p w:rsidR="00711F6E" w:rsidRPr="00B62920" w:rsidRDefault="00711F6E" w:rsidP="00711F6E">
      <w:pPr>
        <w:rPr>
          <w:color w:val="000000" w:themeColor="text1"/>
          <w:lang w:val="en-GB"/>
        </w:rPr>
      </w:pPr>
    </w:p>
    <w:p w:rsidR="00711F6E" w:rsidRPr="00B62920" w:rsidRDefault="00711F6E" w:rsidP="00711F6E">
      <w:pPr>
        <w:pStyle w:val="Normal1"/>
        <w:spacing w:before="0" w:beforeAutospacing="0" w:after="0" w:afterAutospacing="0"/>
        <w:jc w:val="both"/>
        <w:rPr>
          <w:b/>
          <w:color w:val="000000" w:themeColor="text1"/>
          <w:lang w:val="en-GB"/>
        </w:rPr>
      </w:pPr>
      <w:r w:rsidRPr="00B62920">
        <w:rPr>
          <w:b/>
          <w:color w:val="000000" w:themeColor="text1"/>
          <w:lang w:val="en-GB"/>
        </w:rPr>
        <w:t>FOR THESE REASONS,</w:t>
      </w:r>
    </w:p>
    <w:p w:rsidR="00711F6E" w:rsidRPr="00B62920" w:rsidRDefault="00711F6E" w:rsidP="00711F6E">
      <w:pPr>
        <w:pStyle w:val="Normal1"/>
        <w:spacing w:before="0" w:beforeAutospacing="0" w:after="0" w:afterAutospacing="0"/>
        <w:jc w:val="both"/>
        <w:rPr>
          <w:b/>
          <w:color w:val="000000" w:themeColor="text1"/>
          <w:lang w:val="en-GB"/>
        </w:rPr>
      </w:pPr>
    </w:p>
    <w:p w:rsidR="00711F6E" w:rsidRPr="00B62920" w:rsidRDefault="00711F6E" w:rsidP="00711F6E">
      <w:pPr>
        <w:autoSpaceDE w:val="0"/>
        <w:autoSpaceDN w:val="0"/>
        <w:adjustRightInd w:val="0"/>
        <w:jc w:val="both"/>
        <w:rPr>
          <w:color w:val="000000" w:themeColor="text1"/>
          <w:lang w:val="en-GB"/>
        </w:rPr>
      </w:pPr>
      <w:r w:rsidRPr="00B62920">
        <w:rPr>
          <w:color w:val="000000" w:themeColor="text1"/>
          <w:lang w:val="en-GB"/>
        </w:rPr>
        <w:t>The Panel, unanimously,</w:t>
      </w:r>
    </w:p>
    <w:p w:rsidR="00711F6E" w:rsidRPr="00B62920" w:rsidRDefault="00711F6E" w:rsidP="00711F6E">
      <w:pPr>
        <w:autoSpaceDE w:val="0"/>
        <w:autoSpaceDN w:val="0"/>
        <w:adjustRightInd w:val="0"/>
        <w:jc w:val="both"/>
        <w:rPr>
          <w:color w:val="000000" w:themeColor="text1"/>
          <w:lang w:val="en-GB"/>
        </w:rPr>
      </w:pPr>
    </w:p>
    <w:p w:rsidR="00711F6E" w:rsidRPr="00B62920" w:rsidRDefault="00711F6E" w:rsidP="00711F6E">
      <w:pPr>
        <w:autoSpaceDE w:val="0"/>
        <w:autoSpaceDN w:val="0"/>
        <w:adjustRightInd w:val="0"/>
        <w:jc w:val="both"/>
        <w:rPr>
          <w:color w:val="000000" w:themeColor="text1"/>
          <w:lang w:val="en-GB"/>
        </w:rPr>
      </w:pPr>
    </w:p>
    <w:p w:rsidR="00711F6E" w:rsidRPr="00B62920" w:rsidRDefault="00711F6E" w:rsidP="00711F6E">
      <w:pPr>
        <w:pStyle w:val="JuList"/>
        <w:numPr>
          <w:ilvl w:val="0"/>
          <w:numId w:val="5"/>
        </w:numPr>
        <w:tabs>
          <w:tab w:val="clear" w:pos="567"/>
          <w:tab w:val="num" w:pos="-142"/>
        </w:tabs>
        <w:ind w:left="284" w:hanging="284"/>
        <w:rPr>
          <w:b/>
          <w:color w:val="000000" w:themeColor="text1"/>
        </w:rPr>
      </w:pPr>
      <w:r w:rsidRPr="00B62920">
        <w:rPr>
          <w:b/>
          <w:color w:val="000000" w:themeColor="text1"/>
        </w:rPr>
        <w:t>FINDS THAT THERE HAS BEEN A VIOLATION OF THE PROCEDURAL OBLIGATION UNDER ARTICLE 2 OF THE EUROPEAN CONVENTION ON HUMAN RIGHTS;</w:t>
      </w:r>
    </w:p>
    <w:p w:rsidR="00711F6E" w:rsidRPr="00B62920" w:rsidRDefault="00711F6E" w:rsidP="00711F6E">
      <w:pPr>
        <w:pStyle w:val="JuList"/>
        <w:ind w:left="0" w:firstLine="0"/>
        <w:rPr>
          <w:b/>
          <w:color w:val="000000" w:themeColor="text1"/>
        </w:rPr>
      </w:pPr>
    </w:p>
    <w:p w:rsidR="00711F6E" w:rsidRPr="00B62920" w:rsidRDefault="00711F6E" w:rsidP="009F3F3C">
      <w:pPr>
        <w:pStyle w:val="JuList"/>
        <w:numPr>
          <w:ilvl w:val="0"/>
          <w:numId w:val="5"/>
        </w:numPr>
        <w:tabs>
          <w:tab w:val="clear" w:pos="567"/>
          <w:tab w:val="num" w:pos="-142"/>
        </w:tabs>
        <w:ind w:left="284" w:hanging="284"/>
        <w:rPr>
          <w:b/>
          <w:color w:val="000000" w:themeColor="text1"/>
        </w:rPr>
      </w:pPr>
      <w:r w:rsidRPr="00B62920">
        <w:rPr>
          <w:b/>
          <w:color w:val="000000" w:themeColor="text1"/>
        </w:rPr>
        <w:t>FINDS THAT THERE HAS BEEN A VIOLATION OF THE SUBSTANTIVE OBLIGATION UNDER ARTICLE 3 OF THE EUROPEAN CONVENTION ON HUMAN RIGHTS, IN RELATION TO THE</w:t>
      </w:r>
      <w:r w:rsidR="00874A40" w:rsidRPr="00B62920">
        <w:rPr>
          <w:b/>
          <w:color w:val="000000" w:themeColor="text1"/>
        </w:rPr>
        <w:t xml:space="preserve"> </w:t>
      </w:r>
      <w:r w:rsidR="00C70AD7">
        <w:rPr>
          <w:b/>
          <w:color w:val="000000" w:themeColor="text1"/>
        </w:rPr>
        <w:t xml:space="preserve">ABDUCTION AND </w:t>
      </w:r>
      <w:r w:rsidR="00107226">
        <w:rPr>
          <w:b/>
          <w:color w:val="000000" w:themeColor="text1"/>
        </w:rPr>
        <w:t xml:space="preserve">DISAPPEARANCE </w:t>
      </w:r>
      <w:r w:rsidR="007831C3" w:rsidRPr="00B62920">
        <w:rPr>
          <w:b/>
          <w:color w:val="000000" w:themeColor="text1"/>
        </w:rPr>
        <w:t xml:space="preserve">OF </w:t>
      </w:r>
      <w:r w:rsidR="00600E12">
        <w:rPr>
          <w:b/>
          <w:color w:val="000000" w:themeColor="text1"/>
          <w:lang w:val="en-US"/>
        </w:rPr>
        <w:t>MR</w:t>
      </w:r>
      <w:r w:rsidR="00107226">
        <w:rPr>
          <w:b/>
          <w:color w:val="000000" w:themeColor="text1"/>
          <w:lang w:val="en-US"/>
        </w:rPr>
        <w:t>S VERA Š</w:t>
      </w:r>
      <w:r w:rsidR="00A65030">
        <w:rPr>
          <w:b/>
          <w:color w:val="000000" w:themeColor="text1"/>
          <w:lang w:val="en-US"/>
        </w:rPr>
        <w:t>K</w:t>
      </w:r>
      <w:r w:rsidR="00107226">
        <w:rPr>
          <w:b/>
          <w:color w:val="000000" w:themeColor="text1"/>
          <w:lang w:val="en-US"/>
        </w:rPr>
        <w:t>RIPAC</w:t>
      </w:r>
      <w:r w:rsidRPr="00B62920">
        <w:rPr>
          <w:b/>
          <w:color w:val="000000" w:themeColor="text1"/>
        </w:rPr>
        <w:t>;</w:t>
      </w:r>
    </w:p>
    <w:p w:rsidR="00711F6E" w:rsidRPr="00B62920" w:rsidRDefault="00711F6E" w:rsidP="00711F6E">
      <w:pPr>
        <w:pStyle w:val="JuList"/>
        <w:ind w:left="0" w:firstLine="0"/>
        <w:rPr>
          <w:b/>
          <w:color w:val="000000" w:themeColor="text1"/>
        </w:rPr>
      </w:pPr>
    </w:p>
    <w:p w:rsidR="00711F6E" w:rsidRPr="00B62920" w:rsidRDefault="00711F6E" w:rsidP="00711F6E">
      <w:pPr>
        <w:pStyle w:val="JuList"/>
        <w:numPr>
          <w:ilvl w:val="0"/>
          <w:numId w:val="5"/>
        </w:numPr>
        <w:tabs>
          <w:tab w:val="clear" w:pos="567"/>
          <w:tab w:val="num" w:pos="-142"/>
        </w:tabs>
        <w:ind w:left="284" w:hanging="284"/>
        <w:rPr>
          <w:b/>
          <w:color w:val="000000" w:themeColor="text1"/>
        </w:rPr>
      </w:pPr>
      <w:r w:rsidRPr="00B62920">
        <w:rPr>
          <w:b/>
          <w:color w:val="000000" w:themeColor="text1"/>
        </w:rPr>
        <w:t>RECOMMENDS</w:t>
      </w:r>
      <w:r w:rsidRPr="00B62920">
        <w:rPr>
          <w:b/>
          <w:bCs/>
          <w:color w:val="000000" w:themeColor="text1"/>
          <w:lang w:eastAsia="en-US"/>
        </w:rPr>
        <w:t xml:space="preserve"> THAT UNMIK:</w:t>
      </w:r>
    </w:p>
    <w:p w:rsidR="00711F6E" w:rsidRPr="00B62920" w:rsidRDefault="00711F6E" w:rsidP="00711F6E">
      <w:pPr>
        <w:pStyle w:val="JuList"/>
        <w:ind w:left="0" w:firstLine="0"/>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 xml:space="preserve">URGES THE COMPETENT AUTHORITIES IN KOSOVO TO TAKE ALL POSSIBLE STEPS IN ORDER TO ENSURE THAT THE CRIMINAL INVESTIGATION INTO </w:t>
      </w:r>
      <w:r w:rsidR="00107226" w:rsidRPr="00B62920">
        <w:rPr>
          <w:b/>
          <w:color w:val="000000" w:themeColor="text1"/>
        </w:rPr>
        <w:t xml:space="preserve">THE </w:t>
      </w:r>
      <w:r w:rsidR="00107226">
        <w:rPr>
          <w:b/>
          <w:color w:val="000000" w:themeColor="text1"/>
        </w:rPr>
        <w:t xml:space="preserve">ABDUCTION AND DISAPPEARANCE </w:t>
      </w:r>
      <w:r w:rsidR="00107226" w:rsidRPr="00B62920">
        <w:rPr>
          <w:b/>
          <w:color w:val="000000" w:themeColor="text1"/>
        </w:rPr>
        <w:t xml:space="preserve">OF </w:t>
      </w:r>
      <w:r w:rsidR="00107226">
        <w:rPr>
          <w:b/>
          <w:color w:val="000000" w:themeColor="text1"/>
          <w:lang w:val="en-US"/>
        </w:rPr>
        <w:t>MRS VERA Š</w:t>
      </w:r>
      <w:r w:rsidR="002E3AB8" w:rsidRPr="00696BBB">
        <w:rPr>
          <w:b/>
          <w:lang w:val="en-US"/>
        </w:rPr>
        <w:t>K</w:t>
      </w:r>
      <w:r w:rsidR="00107226" w:rsidRPr="00696BBB">
        <w:rPr>
          <w:b/>
          <w:lang w:val="en-US"/>
        </w:rPr>
        <w:t>RIP</w:t>
      </w:r>
      <w:r w:rsidR="00107226">
        <w:rPr>
          <w:b/>
          <w:color w:val="000000" w:themeColor="text1"/>
          <w:lang w:val="en-US"/>
        </w:rPr>
        <w:t>AC</w:t>
      </w:r>
      <w:r w:rsidR="00107226" w:rsidRPr="00B62920">
        <w:rPr>
          <w:b/>
          <w:color w:val="000000" w:themeColor="text1"/>
        </w:rPr>
        <w:t xml:space="preserve"> </w:t>
      </w:r>
      <w:r w:rsidRPr="00B62920">
        <w:rPr>
          <w:b/>
          <w:color w:val="000000" w:themeColor="text1"/>
        </w:rPr>
        <w:t>IS</w:t>
      </w:r>
      <w:r w:rsidRPr="00B62920">
        <w:rPr>
          <w:b/>
          <w:bCs/>
          <w:color w:val="000000" w:themeColor="text1"/>
          <w:lang w:eastAsia="en-US"/>
        </w:rPr>
        <w:t xml:space="preserve"> CONTINUED IN COMPLIANCE WITH ARTICLE 2 OF THE ECHR AND THAT THE PERPETRATORS ARE BROUGHT TO JUSTICE;</w:t>
      </w:r>
    </w:p>
    <w:p w:rsidR="00711F6E" w:rsidRPr="00B62920" w:rsidRDefault="00711F6E" w:rsidP="00711F6E">
      <w:pPr>
        <w:pStyle w:val="JuList"/>
        <w:ind w:left="426" w:hanging="283"/>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PUBLICLY ACKNOWLEDGES</w:t>
      </w:r>
      <w:r w:rsidR="00FC30AF" w:rsidRPr="00B62920">
        <w:rPr>
          <w:b/>
          <w:bCs/>
          <w:color w:val="000000" w:themeColor="text1"/>
          <w:lang w:eastAsia="en-US"/>
        </w:rPr>
        <w:t>,</w:t>
      </w:r>
      <w:r w:rsidRPr="00B62920">
        <w:rPr>
          <w:b/>
          <w:bCs/>
          <w:color w:val="000000" w:themeColor="text1"/>
          <w:lang w:eastAsia="en-US"/>
        </w:rPr>
        <w:t xml:space="preserve"> INCLUDING THROUGH MEDIA</w:t>
      </w:r>
      <w:r w:rsidR="00FC30AF" w:rsidRPr="00B62920">
        <w:rPr>
          <w:b/>
          <w:bCs/>
          <w:color w:val="000000" w:themeColor="text1"/>
          <w:lang w:eastAsia="en-US"/>
        </w:rPr>
        <w:t>,</w:t>
      </w:r>
      <w:r w:rsidRPr="00B62920">
        <w:rPr>
          <w:b/>
          <w:bCs/>
          <w:color w:val="000000" w:themeColor="text1"/>
          <w:lang w:eastAsia="en-US"/>
        </w:rPr>
        <w:t xml:space="preserve"> RESPONSIBILITY FOR ITS FAILURE TO CONDUCT AN EFFECTIVE INVESTIGATION INTO </w:t>
      </w:r>
      <w:r w:rsidR="00107226" w:rsidRPr="00B62920">
        <w:rPr>
          <w:b/>
          <w:color w:val="000000" w:themeColor="text1"/>
        </w:rPr>
        <w:t xml:space="preserve">THE </w:t>
      </w:r>
      <w:r w:rsidR="00107226">
        <w:rPr>
          <w:b/>
          <w:color w:val="000000" w:themeColor="text1"/>
        </w:rPr>
        <w:t xml:space="preserve">ABDUCTION AND DISAPPEARANCE </w:t>
      </w:r>
      <w:r w:rsidR="00107226" w:rsidRPr="00B62920">
        <w:rPr>
          <w:b/>
          <w:color w:val="000000" w:themeColor="text1"/>
        </w:rPr>
        <w:t xml:space="preserve">OF </w:t>
      </w:r>
      <w:r w:rsidR="00A65030">
        <w:rPr>
          <w:b/>
          <w:color w:val="000000" w:themeColor="text1"/>
          <w:lang w:val="en-US"/>
        </w:rPr>
        <w:t>MRS VERA ŠK</w:t>
      </w:r>
      <w:r w:rsidR="00107226">
        <w:rPr>
          <w:b/>
          <w:color w:val="000000" w:themeColor="text1"/>
          <w:lang w:val="en-US"/>
        </w:rPr>
        <w:t>RIPAC</w:t>
      </w:r>
      <w:r w:rsidRPr="00B62920">
        <w:rPr>
          <w:b/>
          <w:bCs/>
          <w:color w:val="000000" w:themeColor="text1"/>
          <w:lang w:eastAsia="en-US"/>
        </w:rPr>
        <w:t>, AS WELL AS FOR DISTRESS AND MENTAL SUFFERING INCURRED</w:t>
      </w:r>
      <w:r w:rsidR="00DD33CB" w:rsidRPr="00B62920">
        <w:rPr>
          <w:b/>
          <w:bCs/>
          <w:color w:val="000000" w:themeColor="text1"/>
          <w:lang w:eastAsia="en-US"/>
        </w:rPr>
        <w:t xml:space="preserve"> BY THE COMPLAINANT</w:t>
      </w:r>
      <w:r w:rsidRPr="00B62920">
        <w:rPr>
          <w:b/>
          <w:bCs/>
          <w:color w:val="000000" w:themeColor="text1"/>
          <w:lang w:eastAsia="en-US"/>
        </w:rPr>
        <w:t xml:space="preserve">, AND MAKES A PUBLIC APOLOGY TO </w:t>
      </w:r>
      <w:r w:rsidR="00C70AD7">
        <w:rPr>
          <w:b/>
          <w:bCs/>
          <w:color w:val="000000" w:themeColor="text1"/>
          <w:lang w:eastAsia="en-US"/>
        </w:rPr>
        <w:t>HIM</w:t>
      </w:r>
      <w:r w:rsidRPr="00B62920">
        <w:rPr>
          <w:b/>
          <w:bCs/>
          <w:color w:val="000000" w:themeColor="text1"/>
          <w:lang w:eastAsia="en-US"/>
        </w:rPr>
        <w:t xml:space="preserve"> AND </w:t>
      </w:r>
      <w:r w:rsidR="00C70AD7">
        <w:rPr>
          <w:b/>
          <w:bCs/>
          <w:color w:val="000000" w:themeColor="text1"/>
          <w:lang w:eastAsia="en-US"/>
        </w:rPr>
        <w:t xml:space="preserve">HIS </w:t>
      </w:r>
      <w:r w:rsidRPr="00B62920">
        <w:rPr>
          <w:b/>
          <w:bCs/>
          <w:color w:val="000000" w:themeColor="text1"/>
          <w:lang w:eastAsia="en-US"/>
        </w:rPr>
        <w:t>FAMILY;</w:t>
      </w:r>
    </w:p>
    <w:p w:rsidR="00711F6E" w:rsidRPr="00B62920" w:rsidRDefault="00711F6E" w:rsidP="00711F6E">
      <w:pPr>
        <w:pStyle w:val="JuList"/>
        <w:ind w:left="426" w:hanging="283"/>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B62920" w:rsidRDefault="00711F6E" w:rsidP="00711F6E">
      <w:pPr>
        <w:pStyle w:val="JuList"/>
        <w:ind w:left="426" w:hanging="283"/>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TAKES APPROPRIATE STEPS TOWARDS THE REALISATION OF A FULL AND COMPREHENSIVE REPARATION PROGRAMME;</w:t>
      </w:r>
    </w:p>
    <w:p w:rsidR="00711F6E" w:rsidRPr="00B62920" w:rsidRDefault="00711F6E" w:rsidP="00711F6E">
      <w:pPr>
        <w:pStyle w:val="JuList"/>
        <w:ind w:left="426" w:hanging="283"/>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TAKES APPROPRIATE STEPS AT THE UNITED NATIONS AS A GUARANTEE OF NON REPETITION;</w:t>
      </w:r>
    </w:p>
    <w:p w:rsidR="00711F6E" w:rsidRPr="00B62920" w:rsidRDefault="00711F6E" w:rsidP="00711F6E">
      <w:pPr>
        <w:pStyle w:val="JuList"/>
        <w:ind w:left="426" w:hanging="283"/>
        <w:rPr>
          <w:b/>
          <w:bCs/>
          <w:color w:val="000000" w:themeColor="text1"/>
          <w:lang w:eastAsia="en-US"/>
        </w:rPr>
      </w:pPr>
    </w:p>
    <w:p w:rsidR="00711F6E" w:rsidRPr="00B62920" w:rsidRDefault="00711F6E" w:rsidP="00711F6E">
      <w:pPr>
        <w:pStyle w:val="JuList"/>
        <w:numPr>
          <w:ilvl w:val="0"/>
          <w:numId w:val="18"/>
        </w:numPr>
        <w:tabs>
          <w:tab w:val="num" w:pos="720"/>
        </w:tabs>
        <w:rPr>
          <w:b/>
          <w:bCs/>
          <w:color w:val="000000" w:themeColor="text1"/>
          <w:lang w:eastAsia="en-US"/>
        </w:rPr>
      </w:pPr>
      <w:r w:rsidRPr="00B62920">
        <w:rPr>
          <w:b/>
          <w:bCs/>
          <w:color w:val="000000" w:themeColor="text1"/>
          <w:lang w:eastAsia="en-US"/>
        </w:rPr>
        <w:t>TAKES IMMEDIATE AND EFFECTIVE MEASURES TO IMPLEMENT THE RECOMMENDATIONS OF THE PANEL AND TO INFORM THE COMPLAINANT AND THE PANEL ABOUT FURTHER DEVELOPMENTS IN THIS CASE.</w:t>
      </w:r>
    </w:p>
    <w:p w:rsidR="00711F6E" w:rsidRPr="00B62920" w:rsidRDefault="00711F6E" w:rsidP="00711F6E">
      <w:pPr>
        <w:autoSpaceDE w:val="0"/>
        <w:autoSpaceDN w:val="0"/>
        <w:adjustRightInd w:val="0"/>
        <w:jc w:val="both"/>
        <w:rPr>
          <w:color w:val="000000" w:themeColor="text1"/>
          <w:lang w:val="en-GB"/>
        </w:rPr>
      </w:pPr>
    </w:p>
    <w:p w:rsidR="00E92DED" w:rsidRPr="00B62920" w:rsidRDefault="00E92DED" w:rsidP="00711F6E">
      <w:pPr>
        <w:autoSpaceDE w:val="0"/>
        <w:autoSpaceDN w:val="0"/>
        <w:adjustRightInd w:val="0"/>
        <w:jc w:val="both"/>
        <w:rPr>
          <w:color w:val="000000" w:themeColor="text1"/>
          <w:lang w:val="en-GB"/>
        </w:rPr>
      </w:pPr>
    </w:p>
    <w:p w:rsidR="00453993" w:rsidRPr="00B62920" w:rsidRDefault="00453993" w:rsidP="00711F6E">
      <w:pPr>
        <w:autoSpaceDE w:val="0"/>
        <w:autoSpaceDN w:val="0"/>
        <w:adjustRightInd w:val="0"/>
        <w:jc w:val="both"/>
        <w:rPr>
          <w:color w:val="000000" w:themeColor="text1"/>
          <w:lang w:val="en-GB"/>
        </w:rPr>
      </w:pPr>
    </w:p>
    <w:p w:rsidR="00453993" w:rsidRPr="00B62920" w:rsidRDefault="00453993" w:rsidP="00711F6E">
      <w:pPr>
        <w:autoSpaceDE w:val="0"/>
        <w:autoSpaceDN w:val="0"/>
        <w:adjustRightInd w:val="0"/>
        <w:jc w:val="both"/>
        <w:rPr>
          <w:color w:val="000000" w:themeColor="text1"/>
          <w:lang w:val="en-GB"/>
        </w:rPr>
      </w:pPr>
    </w:p>
    <w:p w:rsidR="00453993" w:rsidRPr="00B62920" w:rsidRDefault="00453993" w:rsidP="00711F6E">
      <w:pPr>
        <w:autoSpaceDE w:val="0"/>
        <w:autoSpaceDN w:val="0"/>
        <w:adjustRightInd w:val="0"/>
        <w:jc w:val="both"/>
        <w:rPr>
          <w:color w:val="000000" w:themeColor="text1"/>
          <w:lang w:val="en-GB"/>
        </w:rPr>
      </w:pPr>
    </w:p>
    <w:p w:rsidR="00E92DED" w:rsidRPr="00B62920" w:rsidRDefault="00E92DED" w:rsidP="00711F6E">
      <w:pPr>
        <w:autoSpaceDE w:val="0"/>
        <w:autoSpaceDN w:val="0"/>
        <w:adjustRightInd w:val="0"/>
        <w:jc w:val="both"/>
        <w:rPr>
          <w:color w:val="000000" w:themeColor="text1"/>
          <w:lang w:val="en-GB"/>
        </w:rPr>
      </w:pPr>
    </w:p>
    <w:p w:rsidR="00711F6E" w:rsidRPr="00B62920" w:rsidRDefault="00711F6E" w:rsidP="00711F6E">
      <w:pPr>
        <w:autoSpaceDE w:val="0"/>
        <w:autoSpaceDN w:val="0"/>
        <w:adjustRightInd w:val="0"/>
        <w:jc w:val="both"/>
        <w:rPr>
          <w:color w:val="000000" w:themeColor="text1"/>
          <w:lang w:val="en-GB"/>
        </w:rPr>
      </w:pPr>
      <w:r w:rsidRPr="00B62920">
        <w:rPr>
          <w:color w:val="000000" w:themeColor="text1"/>
          <w:lang w:val="en-GB"/>
        </w:rPr>
        <w:t xml:space="preserve"> Andrey Antonov</w:t>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t>Marek Nowicki</w:t>
      </w:r>
    </w:p>
    <w:p w:rsidR="00711F6E" w:rsidRPr="00B62920" w:rsidRDefault="00711F6E" w:rsidP="00711F6E">
      <w:pPr>
        <w:autoSpaceDE w:val="0"/>
        <w:autoSpaceDN w:val="0"/>
        <w:adjustRightInd w:val="0"/>
        <w:jc w:val="both"/>
        <w:rPr>
          <w:color w:val="000000" w:themeColor="text1"/>
          <w:lang w:val="en-GB"/>
        </w:rPr>
      </w:pPr>
      <w:r w:rsidRPr="00B62920">
        <w:rPr>
          <w:color w:val="000000" w:themeColor="text1"/>
          <w:lang w:val="en-GB"/>
        </w:rPr>
        <w:t xml:space="preserve"> Executive Officer </w:t>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t>Presiding Member</w:t>
      </w:r>
    </w:p>
    <w:p w:rsidR="00711F6E" w:rsidRPr="00B62920" w:rsidRDefault="00711F6E"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9A6E2B" w:rsidRPr="00B62920" w:rsidRDefault="009A6E2B" w:rsidP="00711F6E">
      <w:pPr>
        <w:rPr>
          <w:i/>
          <w:color w:val="000000" w:themeColor="text1"/>
          <w:lang w:val="en-GB"/>
        </w:rPr>
      </w:pPr>
    </w:p>
    <w:p w:rsidR="00453993" w:rsidRDefault="00453993">
      <w:pPr>
        <w:rPr>
          <w:i/>
          <w:color w:val="000000" w:themeColor="text1"/>
          <w:lang w:val="en-GB"/>
        </w:rPr>
      </w:pPr>
    </w:p>
    <w:p w:rsidR="00107226" w:rsidRDefault="00107226">
      <w:pPr>
        <w:rPr>
          <w:i/>
          <w:color w:val="000000" w:themeColor="text1"/>
          <w:lang w:val="en-GB"/>
        </w:rPr>
      </w:pPr>
    </w:p>
    <w:p w:rsidR="00A96EEF" w:rsidRDefault="00A96EEF">
      <w:pPr>
        <w:rPr>
          <w:i/>
          <w:color w:val="000000" w:themeColor="text1"/>
          <w:lang w:val="en-GB"/>
        </w:rPr>
      </w:pPr>
    </w:p>
    <w:p w:rsidR="00A96EEF" w:rsidRDefault="00A96EEF">
      <w:pPr>
        <w:rPr>
          <w:i/>
          <w:color w:val="000000" w:themeColor="text1"/>
          <w:lang w:val="en-GB"/>
        </w:rPr>
      </w:pPr>
    </w:p>
    <w:p w:rsidR="00A96EEF" w:rsidRDefault="00A96EEF">
      <w:pPr>
        <w:rPr>
          <w:i/>
          <w:color w:val="000000" w:themeColor="text1"/>
          <w:lang w:val="en-GB"/>
        </w:rPr>
      </w:pPr>
    </w:p>
    <w:p w:rsidR="00A96EEF" w:rsidRDefault="00A96EEF">
      <w:pPr>
        <w:rPr>
          <w:i/>
          <w:color w:val="000000" w:themeColor="text1"/>
          <w:lang w:val="en-GB"/>
        </w:rPr>
      </w:pPr>
    </w:p>
    <w:p w:rsidR="00107226" w:rsidRDefault="00107226">
      <w:pPr>
        <w:rPr>
          <w:i/>
          <w:color w:val="000000" w:themeColor="text1"/>
          <w:lang w:val="en-GB"/>
        </w:rPr>
      </w:pPr>
    </w:p>
    <w:p w:rsidR="00107226" w:rsidRDefault="00107226">
      <w:pPr>
        <w:rPr>
          <w:i/>
          <w:color w:val="000000" w:themeColor="text1"/>
          <w:lang w:val="en-GB"/>
        </w:rPr>
      </w:pPr>
    </w:p>
    <w:p w:rsidR="00107226" w:rsidRDefault="00107226">
      <w:pPr>
        <w:rPr>
          <w:i/>
          <w:color w:val="000000" w:themeColor="text1"/>
          <w:lang w:val="en-GB"/>
        </w:rPr>
      </w:pPr>
    </w:p>
    <w:p w:rsidR="00107226" w:rsidRDefault="00107226">
      <w:pPr>
        <w:rPr>
          <w:i/>
          <w:color w:val="000000" w:themeColor="text1"/>
          <w:lang w:val="en-GB"/>
        </w:rPr>
      </w:pPr>
    </w:p>
    <w:p w:rsidR="00107226" w:rsidRPr="00B62920" w:rsidRDefault="00107226">
      <w:pPr>
        <w:rPr>
          <w:i/>
          <w:color w:val="000000" w:themeColor="text1"/>
          <w:lang w:val="en-GB"/>
        </w:rPr>
      </w:pPr>
    </w:p>
    <w:p w:rsidR="00711F6E" w:rsidRPr="00B62920" w:rsidRDefault="00711F6E" w:rsidP="00711F6E">
      <w:pPr>
        <w:jc w:val="right"/>
        <w:rPr>
          <w:b/>
          <w:color w:val="000000" w:themeColor="text1"/>
          <w:lang w:val="en-GB"/>
        </w:rPr>
      </w:pPr>
      <w:r w:rsidRPr="00B62920">
        <w:rPr>
          <w:i/>
          <w:color w:val="000000" w:themeColor="text1"/>
          <w:lang w:val="en-GB"/>
        </w:rPr>
        <w:t>Annex</w:t>
      </w:r>
    </w:p>
    <w:p w:rsidR="00711F6E" w:rsidRPr="00B62920" w:rsidRDefault="00711F6E" w:rsidP="00711F6E">
      <w:pPr>
        <w:rPr>
          <w:b/>
          <w:color w:val="000000" w:themeColor="text1"/>
          <w:lang w:val="en-GB"/>
        </w:rPr>
      </w:pPr>
    </w:p>
    <w:p w:rsidR="00711F6E" w:rsidRPr="00B62920" w:rsidRDefault="00711F6E" w:rsidP="00711F6E">
      <w:pPr>
        <w:jc w:val="center"/>
        <w:rPr>
          <w:color w:val="000000" w:themeColor="text1"/>
          <w:lang w:val="en-GB"/>
        </w:rPr>
      </w:pPr>
      <w:r w:rsidRPr="00B62920">
        <w:rPr>
          <w:b/>
          <w:color w:val="000000" w:themeColor="text1"/>
          <w:lang w:val="en-GB"/>
        </w:rPr>
        <w:t>ABBREVIATIONS AND ACRONYMS</w:t>
      </w:r>
    </w:p>
    <w:p w:rsidR="00711F6E" w:rsidRPr="00B62920" w:rsidRDefault="00711F6E" w:rsidP="00711F6E">
      <w:pPr>
        <w:autoSpaceDE w:val="0"/>
        <w:jc w:val="both"/>
        <w:rPr>
          <w:color w:val="000000" w:themeColor="text1"/>
          <w:lang w:val="en-GB"/>
        </w:rPr>
      </w:pP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CCPR  </w:t>
      </w:r>
      <w:r w:rsidR="00EC5FD9">
        <w:rPr>
          <w:b/>
          <w:color w:val="000000" w:themeColor="text1"/>
          <w:lang w:val="en-GB"/>
        </w:rPr>
        <w:tab/>
      </w:r>
      <w:r w:rsidRPr="00B62920">
        <w:rPr>
          <w:color w:val="000000" w:themeColor="text1"/>
          <w:lang w:val="en-GB"/>
        </w:rPr>
        <w:t>International Covenant on Civil and Political Rights</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DOJ </w:t>
      </w:r>
      <w:r w:rsidRPr="00B62920">
        <w:rPr>
          <w:color w:val="000000" w:themeColor="text1"/>
          <w:lang w:val="en-GB"/>
        </w:rPr>
        <w:t xml:space="preserve"> </w:t>
      </w:r>
      <w:r w:rsidR="00EC5FD9">
        <w:rPr>
          <w:color w:val="000000" w:themeColor="text1"/>
          <w:lang w:val="en-GB"/>
        </w:rPr>
        <w:tab/>
      </w:r>
      <w:r w:rsidR="00EC5FD9">
        <w:rPr>
          <w:color w:val="000000" w:themeColor="text1"/>
          <w:lang w:val="en-GB"/>
        </w:rPr>
        <w:tab/>
      </w:r>
      <w:r w:rsidRPr="00B62920">
        <w:rPr>
          <w:color w:val="000000" w:themeColor="text1"/>
          <w:lang w:val="en-GB"/>
        </w:rPr>
        <w:t>Department of Justice</w:t>
      </w:r>
    </w:p>
    <w:p w:rsidR="00711F6E" w:rsidRPr="00B62920" w:rsidRDefault="00711F6E" w:rsidP="00711F6E">
      <w:pPr>
        <w:autoSpaceDE w:val="0"/>
        <w:jc w:val="both"/>
        <w:rPr>
          <w:color w:val="000000" w:themeColor="text1"/>
          <w:lang w:val="en-GB"/>
        </w:rPr>
      </w:pPr>
      <w:r w:rsidRPr="00B62920">
        <w:rPr>
          <w:b/>
          <w:color w:val="000000" w:themeColor="text1"/>
          <w:lang w:val="en-GB"/>
        </w:rPr>
        <w:t>DPPO</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District Public Prosecutor’s Office</w:t>
      </w:r>
    </w:p>
    <w:p w:rsidR="00711F6E" w:rsidRPr="00B62920" w:rsidRDefault="00711F6E" w:rsidP="00711F6E">
      <w:pPr>
        <w:autoSpaceDE w:val="0"/>
        <w:jc w:val="both"/>
        <w:rPr>
          <w:color w:val="000000" w:themeColor="text1"/>
          <w:lang w:val="en-GB"/>
        </w:rPr>
      </w:pPr>
      <w:r w:rsidRPr="00B62920">
        <w:rPr>
          <w:b/>
          <w:color w:val="000000" w:themeColor="text1"/>
          <w:lang w:val="en-GB"/>
        </w:rPr>
        <w:t>ECHR</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European Convention on Human Rights</w:t>
      </w:r>
    </w:p>
    <w:p w:rsidR="00711F6E" w:rsidRPr="00B62920" w:rsidRDefault="00711F6E" w:rsidP="00711F6E">
      <w:pPr>
        <w:autoSpaceDE w:val="0"/>
        <w:jc w:val="both"/>
        <w:rPr>
          <w:color w:val="000000" w:themeColor="text1"/>
          <w:lang w:val="en-GB"/>
        </w:rPr>
      </w:pPr>
      <w:r w:rsidRPr="00B62920">
        <w:rPr>
          <w:b/>
          <w:color w:val="000000" w:themeColor="text1"/>
          <w:lang w:val="en-GB"/>
        </w:rPr>
        <w:t>ECtHR</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 xml:space="preserve">European Court of Human Rights </w:t>
      </w:r>
    </w:p>
    <w:p w:rsidR="00711F6E" w:rsidRPr="00B62920" w:rsidRDefault="00711F6E" w:rsidP="00711F6E">
      <w:pPr>
        <w:autoSpaceDE w:val="0"/>
        <w:jc w:val="both"/>
        <w:rPr>
          <w:color w:val="000000" w:themeColor="text1"/>
          <w:lang w:val="en-GB"/>
        </w:rPr>
      </w:pPr>
      <w:r w:rsidRPr="00B62920">
        <w:rPr>
          <w:b/>
          <w:color w:val="000000" w:themeColor="text1"/>
          <w:lang w:val="en-GB"/>
        </w:rPr>
        <w:t>EU</w:t>
      </w:r>
      <w:r w:rsidRPr="00B62920">
        <w:rPr>
          <w:color w:val="000000" w:themeColor="text1"/>
          <w:lang w:val="en-GB"/>
        </w:rPr>
        <w:t xml:space="preserve">  </w:t>
      </w:r>
      <w:r w:rsidR="00EC5FD9">
        <w:rPr>
          <w:color w:val="000000" w:themeColor="text1"/>
          <w:lang w:val="en-GB"/>
        </w:rPr>
        <w:tab/>
      </w:r>
      <w:r w:rsidR="00EC5FD9">
        <w:rPr>
          <w:color w:val="000000" w:themeColor="text1"/>
          <w:lang w:val="en-GB"/>
        </w:rPr>
        <w:tab/>
      </w:r>
      <w:r w:rsidRPr="00B62920">
        <w:rPr>
          <w:color w:val="000000" w:themeColor="text1"/>
          <w:lang w:val="en-GB"/>
        </w:rPr>
        <w:t>European Union</w:t>
      </w:r>
    </w:p>
    <w:p w:rsidR="00711F6E" w:rsidRPr="00B62920" w:rsidRDefault="00711F6E" w:rsidP="00711F6E">
      <w:pPr>
        <w:autoSpaceDE w:val="0"/>
        <w:jc w:val="both"/>
        <w:rPr>
          <w:color w:val="000000" w:themeColor="text1"/>
          <w:lang w:val="en-GB"/>
        </w:rPr>
      </w:pPr>
      <w:r w:rsidRPr="00B62920">
        <w:rPr>
          <w:b/>
          <w:color w:val="000000" w:themeColor="text1"/>
          <w:lang w:val="en-GB"/>
        </w:rPr>
        <w:t>EULEX</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European Union Rule of Law Mission in Kosovo</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FRY </w:t>
      </w:r>
      <w:r w:rsidRPr="00B62920">
        <w:rPr>
          <w:color w:val="000000" w:themeColor="text1"/>
          <w:lang w:val="en-GB"/>
        </w:rPr>
        <w:t xml:space="preserve"> </w:t>
      </w:r>
      <w:r w:rsidR="00EC5FD9">
        <w:rPr>
          <w:color w:val="000000" w:themeColor="text1"/>
          <w:lang w:val="en-GB"/>
        </w:rPr>
        <w:tab/>
      </w:r>
      <w:r w:rsidR="00EC5FD9">
        <w:rPr>
          <w:color w:val="000000" w:themeColor="text1"/>
          <w:lang w:val="en-GB"/>
        </w:rPr>
        <w:tab/>
      </w:r>
      <w:r w:rsidRPr="00B62920">
        <w:rPr>
          <w:color w:val="000000" w:themeColor="text1"/>
          <w:lang w:val="en-GB"/>
        </w:rPr>
        <w:t xml:space="preserve">Federal Republic of Yugoslavia </w:t>
      </w:r>
    </w:p>
    <w:p w:rsidR="007C59FC" w:rsidRPr="00B62920" w:rsidRDefault="007C59FC" w:rsidP="00711F6E">
      <w:pPr>
        <w:autoSpaceDE w:val="0"/>
        <w:jc w:val="both"/>
        <w:rPr>
          <w:color w:val="000000" w:themeColor="text1"/>
          <w:lang w:val="en-GB"/>
        </w:rPr>
      </w:pPr>
      <w:r w:rsidRPr="00B62920">
        <w:rPr>
          <w:b/>
          <w:color w:val="000000" w:themeColor="text1"/>
          <w:lang w:val="en-GB"/>
        </w:rPr>
        <w:t>HLC</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 xml:space="preserve"> </w:t>
      </w:r>
      <w:r w:rsidR="00EC5FD9">
        <w:rPr>
          <w:color w:val="000000" w:themeColor="text1"/>
          <w:lang w:val="en-GB"/>
        </w:rPr>
        <w:tab/>
      </w:r>
      <w:r w:rsidRPr="00B62920">
        <w:rPr>
          <w:color w:val="000000" w:themeColor="text1"/>
          <w:lang w:val="en-GB"/>
        </w:rPr>
        <w:t>Humanitarian Law Centre</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HRAP </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Human Rights Advisory Panel</w:t>
      </w:r>
    </w:p>
    <w:p w:rsidR="00711F6E" w:rsidRPr="00B62920" w:rsidRDefault="00711F6E" w:rsidP="00711F6E">
      <w:pPr>
        <w:autoSpaceDE w:val="0"/>
        <w:jc w:val="both"/>
        <w:rPr>
          <w:color w:val="000000" w:themeColor="text1"/>
          <w:lang w:val="en-GB"/>
        </w:rPr>
      </w:pPr>
      <w:r w:rsidRPr="00B62920">
        <w:rPr>
          <w:b/>
          <w:color w:val="000000" w:themeColor="text1"/>
          <w:lang w:val="en-GB"/>
        </w:rPr>
        <w:t>HRC</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 xml:space="preserve"> </w:t>
      </w:r>
      <w:r w:rsidR="00EC5FD9">
        <w:rPr>
          <w:color w:val="000000" w:themeColor="text1"/>
          <w:lang w:val="en-GB"/>
        </w:rPr>
        <w:tab/>
      </w:r>
      <w:r w:rsidRPr="00B62920">
        <w:rPr>
          <w:color w:val="000000" w:themeColor="text1"/>
          <w:lang w:val="en-GB"/>
        </w:rPr>
        <w:t>United Nation Human Rights Committee</w:t>
      </w:r>
    </w:p>
    <w:p w:rsidR="00711F6E" w:rsidRPr="00B62920" w:rsidRDefault="00711F6E" w:rsidP="00711F6E">
      <w:pPr>
        <w:autoSpaceDE w:val="0"/>
        <w:jc w:val="both"/>
        <w:rPr>
          <w:color w:val="000000" w:themeColor="text1"/>
          <w:lang w:val="en-GB"/>
        </w:rPr>
      </w:pPr>
      <w:r w:rsidRPr="00B62920">
        <w:rPr>
          <w:b/>
          <w:color w:val="000000" w:themeColor="text1"/>
          <w:lang w:val="en-GB"/>
        </w:rPr>
        <w:t>IACtHR</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Inter-American Court of Human Rights</w:t>
      </w:r>
    </w:p>
    <w:p w:rsidR="00711F6E" w:rsidRPr="00B62920" w:rsidRDefault="00711F6E" w:rsidP="00711F6E">
      <w:pPr>
        <w:autoSpaceDE w:val="0"/>
        <w:jc w:val="both"/>
        <w:rPr>
          <w:color w:val="000000" w:themeColor="text1"/>
          <w:lang w:val="en-GB"/>
        </w:rPr>
      </w:pPr>
      <w:r w:rsidRPr="00B62920">
        <w:rPr>
          <w:b/>
          <w:color w:val="000000" w:themeColor="text1"/>
          <w:lang w:val="en-GB"/>
        </w:rPr>
        <w:t>ICMP</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International Commission of Missing Persons</w:t>
      </w:r>
    </w:p>
    <w:p w:rsidR="00711F6E" w:rsidRPr="00B62920" w:rsidRDefault="00711F6E" w:rsidP="00711F6E">
      <w:pPr>
        <w:autoSpaceDE w:val="0"/>
        <w:jc w:val="both"/>
        <w:rPr>
          <w:color w:val="000000" w:themeColor="text1"/>
          <w:lang w:val="en-GB"/>
        </w:rPr>
      </w:pPr>
      <w:r w:rsidRPr="00B62920">
        <w:rPr>
          <w:b/>
          <w:color w:val="000000" w:themeColor="text1"/>
          <w:lang w:val="en-GB"/>
        </w:rPr>
        <w:t>ICRC</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 xml:space="preserve"> </w:t>
      </w:r>
      <w:r w:rsidR="00EC5FD9">
        <w:rPr>
          <w:color w:val="000000" w:themeColor="text1"/>
          <w:lang w:val="en-GB"/>
        </w:rPr>
        <w:tab/>
      </w:r>
      <w:r w:rsidRPr="00B62920">
        <w:rPr>
          <w:color w:val="000000" w:themeColor="text1"/>
          <w:lang w:val="en-GB"/>
        </w:rPr>
        <w:t>International Committee of the Red Cross</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ICTY </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International Criminal Tribunal for former Yugoslavia</w:t>
      </w:r>
    </w:p>
    <w:p w:rsidR="00711F6E" w:rsidRPr="00B62920" w:rsidRDefault="00711F6E" w:rsidP="00711F6E">
      <w:pPr>
        <w:autoSpaceDE w:val="0"/>
        <w:jc w:val="both"/>
        <w:rPr>
          <w:color w:val="000000" w:themeColor="text1"/>
          <w:lang w:val="en-GB"/>
        </w:rPr>
      </w:pPr>
      <w:r w:rsidRPr="00B62920">
        <w:rPr>
          <w:b/>
          <w:color w:val="000000" w:themeColor="text1"/>
          <w:lang w:val="en-GB"/>
        </w:rPr>
        <w:t>IP</w:t>
      </w:r>
      <w:r w:rsidRPr="00B62920">
        <w:rPr>
          <w:color w:val="000000" w:themeColor="text1"/>
          <w:lang w:val="en-GB"/>
        </w:rPr>
        <w:t xml:space="preserve">  </w:t>
      </w:r>
      <w:r w:rsidR="00EC5FD9">
        <w:rPr>
          <w:color w:val="000000" w:themeColor="text1"/>
          <w:lang w:val="en-GB"/>
        </w:rPr>
        <w:tab/>
      </w:r>
      <w:r w:rsidR="00EC5FD9">
        <w:rPr>
          <w:color w:val="000000" w:themeColor="text1"/>
          <w:lang w:val="en-GB"/>
        </w:rPr>
        <w:tab/>
      </w:r>
      <w:r w:rsidRPr="00B62920">
        <w:rPr>
          <w:color w:val="000000" w:themeColor="text1"/>
          <w:lang w:val="en-GB"/>
        </w:rPr>
        <w:t>International Prosecutor</w:t>
      </w:r>
    </w:p>
    <w:p w:rsidR="00711F6E" w:rsidRPr="00B62920" w:rsidRDefault="00711F6E" w:rsidP="00711F6E">
      <w:pPr>
        <w:autoSpaceDE w:val="0"/>
        <w:jc w:val="both"/>
        <w:rPr>
          <w:color w:val="000000" w:themeColor="text1"/>
          <w:lang w:val="en-GB"/>
        </w:rPr>
      </w:pPr>
      <w:r w:rsidRPr="00B62920">
        <w:rPr>
          <w:b/>
          <w:color w:val="000000" w:themeColor="text1"/>
          <w:lang w:val="en-GB"/>
        </w:rPr>
        <w:t>KFOR</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International Security Force (commonly known as Kosovo Force)</w:t>
      </w:r>
    </w:p>
    <w:p w:rsidR="00711F6E" w:rsidRPr="00B62920" w:rsidRDefault="00711F6E" w:rsidP="00711F6E">
      <w:pPr>
        <w:autoSpaceDE w:val="0"/>
        <w:jc w:val="both"/>
        <w:rPr>
          <w:color w:val="000000" w:themeColor="text1"/>
          <w:lang w:val="en-GB"/>
        </w:rPr>
      </w:pPr>
      <w:r w:rsidRPr="00B62920">
        <w:rPr>
          <w:b/>
          <w:color w:val="000000" w:themeColor="text1"/>
          <w:lang w:val="en-GB"/>
        </w:rPr>
        <w:t>KLA</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 xml:space="preserve"> </w:t>
      </w:r>
      <w:r w:rsidR="00EC5FD9">
        <w:rPr>
          <w:color w:val="000000" w:themeColor="text1"/>
          <w:lang w:val="en-GB"/>
        </w:rPr>
        <w:tab/>
      </w:r>
      <w:r w:rsidRPr="00B62920">
        <w:rPr>
          <w:color w:val="000000" w:themeColor="text1"/>
          <w:lang w:val="en-GB"/>
        </w:rPr>
        <w:t>Kosovo Liberation Army</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MPU </w:t>
      </w:r>
      <w:r w:rsidR="00EC5FD9">
        <w:rPr>
          <w:b/>
          <w:color w:val="000000" w:themeColor="text1"/>
          <w:lang w:val="en-GB"/>
        </w:rPr>
        <w:tab/>
      </w:r>
      <w:r w:rsidRPr="00B62920">
        <w:rPr>
          <w:color w:val="000000" w:themeColor="text1"/>
          <w:lang w:val="en-GB"/>
        </w:rPr>
        <w:t xml:space="preserve"> </w:t>
      </w:r>
      <w:r w:rsidR="00EC5FD9">
        <w:rPr>
          <w:color w:val="000000" w:themeColor="text1"/>
          <w:lang w:val="en-GB"/>
        </w:rPr>
        <w:tab/>
      </w:r>
      <w:r w:rsidRPr="00B62920">
        <w:rPr>
          <w:color w:val="000000" w:themeColor="text1"/>
          <w:lang w:val="en-GB"/>
        </w:rPr>
        <w:t>Missing Persons Unit</w:t>
      </w:r>
    </w:p>
    <w:p w:rsidR="00711F6E" w:rsidRPr="00B62920" w:rsidRDefault="00711F6E" w:rsidP="00711F6E">
      <w:pPr>
        <w:autoSpaceDE w:val="0"/>
        <w:jc w:val="both"/>
        <w:rPr>
          <w:color w:val="000000" w:themeColor="text1"/>
          <w:lang w:val="en-GB"/>
        </w:rPr>
      </w:pPr>
      <w:r w:rsidRPr="00B62920">
        <w:rPr>
          <w:b/>
          <w:color w:val="000000" w:themeColor="text1"/>
          <w:lang w:val="en-GB"/>
        </w:rPr>
        <w:t>NATO</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 xml:space="preserve">North Atlantic Treaty Organization </w:t>
      </w:r>
    </w:p>
    <w:p w:rsidR="00711F6E" w:rsidRPr="00B62920" w:rsidRDefault="00711F6E" w:rsidP="00711F6E">
      <w:pPr>
        <w:autoSpaceDE w:val="0"/>
        <w:jc w:val="both"/>
        <w:rPr>
          <w:color w:val="000000" w:themeColor="text1"/>
          <w:lang w:val="en-GB"/>
        </w:rPr>
      </w:pPr>
      <w:r w:rsidRPr="00B62920">
        <w:rPr>
          <w:b/>
          <w:color w:val="000000" w:themeColor="text1"/>
          <w:lang w:val="en-GB"/>
        </w:rPr>
        <w:t>OMPF</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Office on Missing Persons and Forensics</w:t>
      </w:r>
    </w:p>
    <w:p w:rsidR="00711F6E" w:rsidRPr="00B62920" w:rsidRDefault="00711F6E" w:rsidP="00711F6E">
      <w:pPr>
        <w:autoSpaceDE w:val="0"/>
        <w:jc w:val="both"/>
        <w:rPr>
          <w:color w:val="000000" w:themeColor="text1"/>
          <w:lang w:val="en-GB"/>
        </w:rPr>
      </w:pPr>
      <w:r w:rsidRPr="00B62920">
        <w:rPr>
          <w:b/>
          <w:color w:val="000000" w:themeColor="text1"/>
          <w:lang w:val="en-GB"/>
        </w:rPr>
        <w:t>OSCE</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Organization for Security and Cooperation in Europe</w:t>
      </w:r>
    </w:p>
    <w:p w:rsidR="00711F6E" w:rsidRPr="00B62920" w:rsidRDefault="00711F6E" w:rsidP="00711F6E">
      <w:pPr>
        <w:autoSpaceDE w:val="0"/>
        <w:jc w:val="both"/>
        <w:rPr>
          <w:color w:val="000000" w:themeColor="text1"/>
          <w:lang w:val="en-GB"/>
        </w:rPr>
      </w:pPr>
      <w:r w:rsidRPr="00B62920">
        <w:rPr>
          <w:b/>
          <w:color w:val="000000" w:themeColor="text1"/>
          <w:lang w:val="en-GB"/>
        </w:rPr>
        <w:t>RIU</w:t>
      </w:r>
      <w:r w:rsidRPr="00B62920">
        <w:rPr>
          <w:color w:val="000000" w:themeColor="text1"/>
          <w:lang w:val="en-GB"/>
        </w:rPr>
        <w:t xml:space="preserve">  </w:t>
      </w:r>
      <w:r w:rsidR="00EC5FD9">
        <w:rPr>
          <w:color w:val="000000" w:themeColor="text1"/>
          <w:lang w:val="en-GB"/>
        </w:rPr>
        <w:tab/>
      </w:r>
      <w:r w:rsidR="00EC5FD9">
        <w:rPr>
          <w:color w:val="000000" w:themeColor="text1"/>
          <w:lang w:val="en-GB"/>
        </w:rPr>
        <w:tab/>
      </w:r>
      <w:r w:rsidRPr="00B62920">
        <w:rPr>
          <w:color w:val="000000" w:themeColor="text1"/>
          <w:lang w:val="en-GB"/>
        </w:rPr>
        <w:t>Regional Investigation Unit</w:t>
      </w:r>
    </w:p>
    <w:p w:rsidR="00711F6E" w:rsidRPr="00B62920" w:rsidRDefault="00711F6E" w:rsidP="00711F6E">
      <w:pPr>
        <w:autoSpaceDE w:val="0"/>
        <w:jc w:val="both"/>
        <w:rPr>
          <w:color w:val="000000" w:themeColor="text1"/>
          <w:lang w:val="en-GB"/>
        </w:rPr>
      </w:pPr>
      <w:r w:rsidRPr="00B62920">
        <w:rPr>
          <w:b/>
          <w:color w:val="000000" w:themeColor="text1"/>
          <w:lang w:val="en-GB"/>
        </w:rPr>
        <w:t>SRSG</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 xml:space="preserve">Special Representative of the Secretary-General </w:t>
      </w:r>
    </w:p>
    <w:p w:rsidR="00711F6E" w:rsidRPr="00B62920" w:rsidRDefault="00711F6E" w:rsidP="00711F6E">
      <w:pPr>
        <w:autoSpaceDE w:val="0"/>
        <w:jc w:val="both"/>
        <w:rPr>
          <w:color w:val="000000" w:themeColor="text1"/>
          <w:lang w:val="en-GB"/>
        </w:rPr>
      </w:pPr>
      <w:r w:rsidRPr="00B62920">
        <w:rPr>
          <w:b/>
          <w:color w:val="000000" w:themeColor="text1"/>
          <w:lang w:val="en-GB"/>
        </w:rPr>
        <w:t>UN</w:t>
      </w:r>
      <w:r w:rsidR="00EC5FD9">
        <w:rPr>
          <w:color w:val="000000" w:themeColor="text1"/>
          <w:lang w:val="en-GB"/>
        </w:rPr>
        <w:t xml:space="preserve"> </w:t>
      </w:r>
      <w:r w:rsidRPr="00B62920">
        <w:rPr>
          <w:color w:val="000000" w:themeColor="text1"/>
          <w:lang w:val="en-GB"/>
        </w:rPr>
        <w:t xml:space="preserve"> </w:t>
      </w:r>
      <w:r w:rsidR="00EC5FD9">
        <w:rPr>
          <w:color w:val="000000" w:themeColor="text1"/>
          <w:lang w:val="en-GB"/>
        </w:rPr>
        <w:tab/>
      </w:r>
      <w:r w:rsidR="00EC5FD9">
        <w:rPr>
          <w:color w:val="000000" w:themeColor="text1"/>
          <w:lang w:val="en-GB"/>
        </w:rPr>
        <w:tab/>
      </w:r>
      <w:r w:rsidRPr="00B62920">
        <w:rPr>
          <w:color w:val="000000" w:themeColor="text1"/>
          <w:lang w:val="en-GB"/>
        </w:rPr>
        <w:t>United Nations</w:t>
      </w:r>
    </w:p>
    <w:p w:rsidR="00711F6E" w:rsidRPr="00B62920" w:rsidRDefault="00711F6E" w:rsidP="00711F6E">
      <w:pPr>
        <w:autoSpaceDE w:val="0"/>
        <w:jc w:val="both"/>
        <w:rPr>
          <w:color w:val="000000" w:themeColor="text1"/>
          <w:lang w:val="en-GB"/>
        </w:rPr>
      </w:pPr>
      <w:r w:rsidRPr="00B62920">
        <w:rPr>
          <w:b/>
          <w:color w:val="000000" w:themeColor="text1"/>
          <w:lang w:val="en-GB"/>
        </w:rPr>
        <w:t xml:space="preserve">UNHCR </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United Nations High Commissioner for Refugees</w:t>
      </w:r>
    </w:p>
    <w:p w:rsidR="00711F6E" w:rsidRPr="00B62920" w:rsidRDefault="00711F6E" w:rsidP="00711F6E">
      <w:pPr>
        <w:autoSpaceDE w:val="0"/>
        <w:jc w:val="both"/>
        <w:rPr>
          <w:color w:val="000000" w:themeColor="text1"/>
          <w:lang w:val="en-GB"/>
        </w:rPr>
      </w:pPr>
      <w:r w:rsidRPr="00B62920">
        <w:rPr>
          <w:b/>
          <w:color w:val="000000" w:themeColor="text1"/>
          <w:lang w:val="en-GB"/>
        </w:rPr>
        <w:t>UNMIK</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 xml:space="preserve">United Nations Interim Administration Mission in Kosovo </w:t>
      </w:r>
    </w:p>
    <w:p w:rsidR="00711F6E" w:rsidRPr="00B62920" w:rsidRDefault="00711F6E" w:rsidP="00711F6E">
      <w:pPr>
        <w:autoSpaceDE w:val="0"/>
        <w:jc w:val="both"/>
        <w:rPr>
          <w:color w:val="000000" w:themeColor="text1"/>
          <w:lang w:val="en-GB"/>
        </w:rPr>
      </w:pPr>
      <w:r w:rsidRPr="00B62920">
        <w:rPr>
          <w:b/>
          <w:color w:val="000000" w:themeColor="text1"/>
          <w:lang w:val="en-GB"/>
        </w:rPr>
        <w:t>VRIC</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Victim Recovery and Identification Commission</w:t>
      </w:r>
    </w:p>
    <w:p w:rsidR="00711F6E" w:rsidRPr="0043528A" w:rsidRDefault="00711F6E" w:rsidP="00711F6E">
      <w:pPr>
        <w:autoSpaceDE w:val="0"/>
        <w:jc w:val="both"/>
        <w:rPr>
          <w:color w:val="000000" w:themeColor="text1"/>
          <w:lang w:val="en-GB"/>
        </w:rPr>
      </w:pPr>
      <w:r w:rsidRPr="00B62920">
        <w:rPr>
          <w:b/>
          <w:color w:val="000000" w:themeColor="text1"/>
          <w:lang w:val="en-GB"/>
        </w:rPr>
        <w:t xml:space="preserve">WCIU </w:t>
      </w:r>
      <w:r w:rsidRPr="00B62920">
        <w:rPr>
          <w:color w:val="000000" w:themeColor="text1"/>
          <w:lang w:val="en-GB"/>
        </w:rPr>
        <w:t xml:space="preserve"> </w:t>
      </w:r>
      <w:r w:rsidR="00EC5FD9">
        <w:rPr>
          <w:color w:val="000000" w:themeColor="text1"/>
          <w:lang w:val="en-GB"/>
        </w:rPr>
        <w:tab/>
      </w:r>
      <w:r w:rsidRPr="00B62920">
        <w:rPr>
          <w:color w:val="000000" w:themeColor="text1"/>
          <w:lang w:val="en-GB"/>
        </w:rPr>
        <w:t>War Crimes Investigation Unit</w:t>
      </w:r>
    </w:p>
    <w:p w:rsidR="00546DB5" w:rsidRPr="001F7985" w:rsidRDefault="00546DB5" w:rsidP="00711F6E">
      <w:pPr>
        <w:pStyle w:val="ListParagraph"/>
        <w:ind w:left="0"/>
        <w:rPr>
          <w:lang w:val="en-GB"/>
        </w:rPr>
      </w:pPr>
    </w:p>
    <w:sectPr w:rsidR="00546DB5" w:rsidRPr="001F7985" w:rsidSect="00CA379B">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32" w:rsidRDefault="00A96C32">
      <w:r>
        <w:separator/>
      </w:r>
    </w:p>
  </w:endnote>
  <w:endnote w:type="continuationSeparator" w:id="0">
    <w:p w:rsidR="00A96C32" w:rsidRDefault="00A9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32" w:rsidRDefault="00A96C32">
      <w:r>
        <w:separator/>
      </w:r>
    </w:p>
  </w:footnote>
  <w:footnote w:type="continuationSeparator" w:id="0">
    <w:p w:rsidR="00A96C32" w:rsidRDefault="00A96C32">
      <w:r>
        <w:continuationSeparator/>
      </w:r>
    </w:p>
  </w:footnote>
  <w:footnote w:id="1">
    <w:p w:rsidR="00A96C32" w:rsidRPr="000C1973" w:rsidRDefault="00A96C32"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A96C32" w:rsidRPr="001732BF" w:rsidRDefault="00A96C32"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and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v. France</w:t>
      </w:r>
      <w:r w:rsidRPr="001732BF">
        <w:rPr>
          <w:rFonts w:ascii="Times New Roman" w:hAnsi="Times New Roman"/>
          <w:sz w:val="20"/>
        </w:rPr>
        <w:t xml:space="preserve"> and </w:t>
      </w:r>
      <w:proofErr w:type="spellStart"/>
      <w:r w:rsidRPr="001732BF">
        <w:rPr>
          <w:rFonts w:ascii="Times New Roman" w:hAnsi="Times New Roman"/>
          <w:i/>
          <w:sz w:val="20"/>
        </w:rPr>
        <w:t>Saramati</w:t>
      </w:r>
      <w:proofErr w:type="spellEnd"/>
      <w:r w:rsidRPr="001732BF">
        <w:rPr>
          <w:rFonts w:ascii="Times New Roman" w:hAnsi="Times New Roman"/>
          <w:i/>
          <w:sz w:val="20"/>
        </w:rPr>
        <w:t xml:space="preserve">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A96C32" w:rsidRPr="009C628A" w:rsidRDefault="00A96C32" w:rsidP="007C59C5">
      <w:pPr>
        <w:pStyle w:val="FootnoteText"/>
        <w:jc w:val="both"/>
        <w:rPr>
          <w:rFonts w:ascii="Times New Roman" w:hAnsi="Times New Roman"/>
          <w:sz w:val="20"/>
          <w:lang w:val="en-US"/>
        </w:rPr>
      </w:pPr>
      <w:r w:rsidRPr="009C628A">
        <w:rPr>
          <w:rStyle w:val="FootnoteReference"/>
          <w:sz w:val="20"/>
        </w:rPr>
        <w:footnoteRef/>
      </w:r>
      <w:r w:rsidRPr="009C628A">
        <w:rPr>
          <w:sz w:val="20"/>
        </w:rPr>
        <w:t xml:space="preserve"> </w:t>
      </w:r>
      <w:r w:rsidRPr="009C628A">
        <w:rPr>
          <w:rFonts w:ascii="Times New Roman" w:hAnsi="Times New Roman"/>
          <w:sz w:val="20"/>
        </w:rPr>
        <w:t>The ICRC database is available at: http://familylinks.icrc.org/kosovo/en/pages/sea</w:t>
      </w:r>
      <w:r>
        <w:rPr>
          <w:rFonts w:ascii="Times New Roman" w:hAnsi="Times New Roman"/>
          <w:sz w:val="20"/>
        </w:rPr>
        <w:t>rch-persons.aspx (accessed on 31 August</w:t>
      </w:r>
      <w:r w:rsidRPr="009C628A">
        <w:rPr>
          <w:rFonts w:ascii="Times New Roman" w:hAnsi="Times New Roman"/>
          <w:sz w:val="20"/>
        </w:rPr>
        <w:t xml:space="preserve"> 2015).</w:t>
      </w:r>
    </w:p>
  </w:footnote>
  <w:footnote w:id="4">
    <w:p w:rsidR="00A96C32" w:rsidRPr="009C628A" w:rsidRDefault="00A96C32" w:rsidP="007C59C5">
      <w:pPr>
        <w:pStyle w:val="FootnoteText"/>
        <w:jc w:val="both"/>
        <w:rPr>
          <w:rStyle w:val="FootnoteReference"/>
          <w:rFonts w:ascii="Times New Roman" w:hAnsi="Times New Roman"/>
          <w:sz w:val="20"/>
          <w:vertAlign w:val="baseline"/>
        </w:rPr>
      </w:pPr>
      <w:r w:rsidRPr="009C628A">
        <w:rPr>
          <w:rStyle w:val="FootnoteReference"/>
          <w:sz w:val="20"/>
        </w:rPr>
        <w:footnoteRef/>
      </w:r>
      <w:r w:rsidRPr="009C628A">
        <w:rPr>
          <w:rFonts w:ascii="Times New Roman" w:hAnsi="Times New Roman"/>
          <w:sz w:val="20"/>
        </w:rPr>
        <w:t xml:space="preserve"> The OMPF database is not open to public. The Panel accessed i</w:t>
      </w:r>
      <w:r>
        <w:rPr>
          <w:rFonts w:ascii="Times New Roman" w:hAnsi="Times New Roman"/>
          <w:sz w:val="20"/>
        </w:rPr>
        <w:t>t with regard to this case on 31 August</w:t>
      </w:r>
      <w:r w:rsidRPr="009C628A">
        <w:rPr>
          <w:rFonts w:ascii="Times New Roman" w:hAnsi="Times New Roman"/>
          <w:sz w:val="20"/>
        </w:rPr>
        <w:t xml:space="preserve"> 2015.</w:t>
      </w:r>
    </w:p>
  </w:footnote>
  <w:footnote w:id="5">
    <w:p w:rsidR="00A96C32" w:rsidRPr="008B3A27" w:rsidRDefault="00A96C32" w:rsidP="00A96C32">
      <w:pPr>
        <w:pStyle w:val="FootnoteText"/>
        <w:rPr>
          <w:rFonts w:ascii="Times New Roman" w:hAnsi="Times New Roman"/>
          <w:sz w:val="20"/>
          <w:lang w:val="en-US"/>
        </w:rPr>
      </w:pPr>
      <w:r w:rsidRPr="009C628A">
        <w:rPr>
          <w:rStyle w:val="FootnoteReference"/>
          <w:sz w:val="20"/>
        </w:rPr>
        <w:footnoteRef/>
      </w:r>
      <w:r>
        <w:rPr>
          <w:rStyle w:val="FootnoteReference"/>
          <w:rFonts w:ascii="Times New Roman" w:hAnsi="Times New Roman"/>
          <w:sz w:val="20"/>
          <w:vertAlign w:val="baseline"/>
        </w:rPr>
        <w:t xml:space="preserve"> </w:t>
      </w:r>
      <w:r w:rsidRPr="009C628A">
        <w:rPr>
          <w:rStyle w:val="FootnoteReference"/>
          <w:rFonts w:ascii="Times New Roman" w:hAnsi="Times New Roman"/>
          <w:sz w:val="20"/>
          <w:vertAlign w:val="baseline"/>
        </w:rPr>
        <w:t xml:space="preserve">The ICMP database is an electronic source available at: http://www.ic-mp.org/fdmsweb/index.php?w=mp_details&amp;l= en (accessed on </w:t>
      </w:r>
      <w:r>
        <w:rPr>
          <w:rFonts w:ascii="Times New Roman" w:hAnsi="Times New Roman"/>
          <w:sz w:val="20"/>
        </w:rPr>
        <w:t>31 August</w:t>
      </w:r>
      <w:r w:rsidRPr="009C628A">
        <w:rPr>
          <w:rFonts w:ascii="Times New Roman" w:hAnsi="Times New Roman"/>
          <w:sz w:val="20"/>
        </w:rPr>
        <w:t xml:space="preserve"> </w:t>
      </w:r>
      <w:r w:rsidRPr="009C628A">
        <w:rPr>
          <w:rStyle w:val="FootnoteReference"/>
          <w:rFonts w:ascii="Times New Roman" w:hAnsi="Times New Roman"/>
          <w:sz w:val="20"/>
          <w:vertAlign w:val="baseline"/>
        </w:rPr>
        <w:t>2015).</w:t>
      </w:r>
      <w:r w:rsidRPr="008B3A27">
        <w:rPr>
          <w:rFonts w:ascii="Times New Roman" w:hAnsi="Times New Roman"/>
          <w:color w:val="000000"/>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32" w:rsidRPr="000722CE" w:rsidRDefault="00A96C32">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E93EFC">
      <w:rPr>
        <w:noProof/>
        <w:sz w:val="20"/>
        <w:szCs w:val="20"/>
      </w:rPr>
      <w:t>21</w:t>
    </w:r>
    <w:r w:rsidRPr="000722CE">
      <w:rPr>
        <w:sz w:val="20"/>
        <w:szCs w:val="20"/>
      </w:rPr>
      <w:fldChar w:fldCharType="end"/>
    </w:r>
  </w:p>
  <w:p w:rsidR="00A96C32" w:rsidRDefault="00A96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15:restartNumberingAfterBreak="0">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15:restartNumberingAfterBreak="0">
    <w:nsid w:val="3841526C"/>
    <w:multiLevelType w:val="hybridMultilevel"/>
    <w:tmpl w:val="C6D09C16"/>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0"/>
  </w:num>
  <w:num w:numId="5">
    <w:abstractNumId w:val="14"/>
  </w:num>
  <w:num w:numId="6">
    <w:abstractNumId w:val="3"/>
  </w:num>
  <w:num w:numId="7">
    <w:abstractNumId w:val="12"/>
  </w:num>
  <w:num w:numId="8">
    <w:abstractNumId w:val="8"/>
  </w:num>
  <w:num w:numId="9">
    <w:abstractNumId w:val="6"/>
  </w:num>
  <w:num w:numId="10">
    <w:abstractNumId w:val="1"/>
  </w:num>
  <w:num w:numId="11">
    <w:abstractNumId w:val="2"/>
  </w:num>
  <w:num w:numId="12">
    <w:abstractNumId w:val="9"/>
  </w:num>
  <w:num w:numId="13">
    <w:abstractNumId w:val="7"/>
  </w:num>
  <w:num w:numId="14">
    <w:abstractNumId w:val="15"/>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7"/>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3387"/>
    <w:rsid w:val="000043BC"/>
    <w:rsid w:val="0000536C"/>
    <w:rsid w:val="00005C16"/>
    <w:rsid w:val="00005CB2"/>
    <w:rsid w:val="0000633A"/>
    <w:rsid w:val="000072A4"/>
    <w:rsid w:val="00007E91"/>
    <w:rsid w:val="0001052E"/>
    <w:rsid w:val="00012116"/>
    <w:rsid w:val="00012BBB"/>
    <w:rsid w:val="0001317B"/>
    <w:rsid w:val="0001588C"/>
    <w:rsid w:val="00015EAF"/>
    <w:rsid w:val="0002011C"/>
    <w:rsid w:val="000209DC"/>
    <w:rsid w:val="00021480"/>
    <w:rsid w:val="00022E69"/>
    <w:rsid w:val="00025BD8"/>
    <w:rsid w:val="00025D67"/>
    <w:rsid w:val="00025DC5"/>
    <w:rsid w:val="000300C8"/>
    <w:rsid w:val="000303E4"/>
    <w:rsid w:val="00032135"/>
    <w:rsid w:val="00033882"/>
    <w:rsid w:val="00033D6B"/>
    <w:rsid w:val="00035A70"/>
    <w:rsid w:val="00042514"/>
    <w:rsid w:val="00042D53"/>
    <w:rsid w:val="00044820"/>
    <w:rsid w:val="00044FA2"/>
    <w:rsid w:val="00045B5E"/>
    <w:rsid w:val="00046CD1"/>
    <w:rsid w:val="000474ED"/>
    <w:rsid w:val="00050B85"/>
    <w:rsid w:val="00054459"/>
    <w:rsid w:val="000565C8"/>
    <w:rsid w:val="00056A25"/>
    <w:rsid w:val="00057B23"/>
    <w:rsid w:val="0006029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24ED"/>
    <w:rsid w:val="00086415"/>
    <w:rsid w:val="000865B1"/>
    <w:rsid w:val="000875E1"/>
    <w:rsid w:val="00091C96"/>
    <w:rsid w:val="0009345C"/>
    <w:rsid w:val="00093691"/>
    <w:rsid w:val="00094FA3"/>
    <w:rsid w:val="000958B3"/>
    <w:rsid w:val="000A21A8"/>
    <w:rsid w:val="000A233E"/>
    <w:rsid w:val="000A4208"/>
    <w:rsid w:val="000A49BC"/>
    <w:rsid w:val="000A4C40"/>
    <w:rsid w:val="000A65EB"/>
    <w:rsid w:val="000A6E33"/>
    <w:rsid w:val="000A7439"/>
    <w:rsid w:val="000B133A"/>
    <w:rsid w:val="000B139B"/>
    <w:rsid w:val="000B1FB4"/>
    <w:rsid w:val="000B46F6"/>
    <w:rsid w:val="000B51F2"/>
    <w:rsid w:val="000B5C31"/>
    <w:rsid w:val="000C0CB1"/>
    <w:rsid w:val="000C2AEF"/>
    <w:rsid w:val="000C425B"/>
    <w:rsid w:val="000C7592"/>
    <w:rsid w:val="000C7B8E"/>
    <w:rsid w:val="000D0543"/>
    <w:rsid w:val="000D0693"/>
    <w:rsid w:val="000D1606"/>
    <w:rsid w:val="000D2756"/>
    <w:rsid w:val="000D362F"/>
    <w:rsid w:val="000D373B"/>
    <w:rsid w:val="000D46DF"/>
    <w:rsid w:val="000D579F"/>
    <w:rsid w:val="000D59E7"/>
    <w:rsid w:val="000D5BCF"/>
    <w:rsid w:val="000E11DC"/>
    <w:rsid w:val="000E12A4"/>
    <w:rsid w:val="000E1F88"/>
    <w:rsid w:val="000E23B6"/>
    <w:rsid w:val="000E2956"/>
    <w:rsid w:val="000E2A2A"/>
    <w:rsid w:val="000E59FE"/>
    <w:rsid w:val="000E7030"/>
    <w:rsid w:val="000F060C"/>
    <w:rsid w:val="000F2772"/>
    <w:rsid w:val="000F32D4"/>
    <w:rsid w:val="000F475D"/>
    <w:rsid w:val="000F5F92"/>
    <w:rsid w:val="000F6E16"/>
    <w:rsid w:val="000F7E70"/>
    <w:rsid w:val="001003BC"/>
    <w:rsid w:val="0010071F"/>
    <w:rsid w:val="001018B0"/>
    <w:rsid w:val="00102BB7"/>
    <w:rsid w:val="00105A05"/>
    <w:rsid w:val="00106865"/>
    <w:rsid w:val="00107226"/>
    <w:rsid w:val="00111B60"/>
    <w:rsid w:val="00112081"/>
    <w:rsid w:val="00112756"/>
    <w:rsid w:val="001132C3"/>
    <w:rsid w:val="00113503"/>
    <w:rsid w:val="00114786"/>
    <w:rsid w:val="0011549D"/>
    <w:rsid w:val="001155AC"/>
    <w:rsid w:val="00117054"/>
    <w:rsid w:val="00121E9E"/>
    <w:rsid w:val="00122DFB"/>
    <w:rsid w:val="00122E46"/>
    <w:rsid w:val="00122F00"/>
    <w:rsid w:val="00123F99"/>
    <w:rsid w:val="00127910"/>
    <w:rsid w:val="001279D7"/>
    <w:rsid w:val="00133592"/>
    <w:rsid w:val="001350FB"/>
    <w:rsid w:val="001379F7"/>
    <w:rsid w:val="001403C2"/>
    <w:rsid w:val="00140481"/>
    <w:rsid w:val="0014048A"/>
    <w:rsid w:val="0014335B"/>
    <w:rsid w:val="001449C9"/>
    <w:rsid w:val="00144AF1"/>
    <w:rsid w:val="0014568C"/>
    <w:rsid w:val="00145983"/>
    <w:rsid w:val="001459F6"/>
    <w:rsid w:val="00146524"/>
    <w:rsid w:val="0015004C"/>
    <w:rsid w:val="001512A5"/>
    <w:rsid w:val="001512EA"/>
    <w:rsid w:val="00151A1D"/>
    <w:rsid w:val="001530BE"/>
    <w:rsid w:val="00153694"/>
    <w:rsid w:val="00154325"/>
    <w:rsid w:val="00154829"/>
    <w:rsid w:val="00154E5E"/>
    <w:rsid w:val="001578B4"/>
    <w:rsid w:val="00160A92"/>
    <w:rsid w:val="0016154E"/>
    <w:rsid w:val="001631A3"/>
    <w:rsid w:val="001642C0"/>
    <w:rsid w:val="00164407"/>
    <w:rsid w:val="0016631D"/>
    <w:rsid w:val="00166DB7"/>
    <w:rsid w:val="00167450"/>
    <w:rsid w:val="00171713"/>
    <w:rsid w:val="001718AA"/>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4B7D"/>
    <w:rsid w:val="001850F5"/>
    <w:rsid w:val="001852D9"/>
    <w:rsid w:val="00186B18"/>
    <w:rsid w:val="00187641"/>
    <w:rsid w:val="00190271"/>
    <w:rsid w:val="00194191"/>
    <w:rsid w:val="00194800"/>
    <w:rsid w:val="00194D38"/>
    <w:rsid w:val="00194D93"/>
    <w:rsid w:val="00194FD3"/>
    <w:rsid w:val="00195ECC"/>
    <w:rsid w:val="00197979"/>
    <w:rsid w:val="001A08B0"/>
    <w:rsid w:val="001A2104"/>
    <w:rsid w:val="001A3877"/>
    <w:rsid w:val="001A4AF8"/>
    <w:rsid w:val="001A5251"/>
    <w:rsid w:val="001A57F8"/>
    <w:rsid w:val="001A5F6B"/>
    <w:rsid w:val="001A6816"/>
    <w:rsid w:val="001B155D"/>
    <w:rsid w:val="001B1A1A"/>
    <w:rsid w:val="001B241F"/>
    <w:rsid w:val="001B2E38"/>
    <w:rsid w:val="001B44B7"/>
    <w:rsid w:val="001B4620"/>
    <w:rsid w:val="001B4F35"/>
    <w:rsid w:val="001B6B46"/>
    <w:rsid w:val="001B768F"/>
    <w:rsid w:val="001B7E46"/>
    <w:rsid w:val="001C0F0F"/>
    <w:rsid w:val="001C1B28"/>
    <w:rsid w:val="001C2229"/>
    <w:rsid w:val="001C238F"/>
    <w:rsid w:val="001C2817"/>
    <w:rsid w:val="001C2E5B"/>
    <w:rsid w:val="001C6555"/>
    <w:rsid w:val="001D031A"/>
    <w:rsid w:val="001D22C7"/>
    <w:rsid w:val="001D2C42"/>
    <w:rsid w:val="001D311B"/>
    <w:rsid w:val="001D3C35"/>
    <w:rsid w:val="001D3D68"/>
    <w:rsid w:val="001D45F5"/>
    <w:rsid w:val="001D4A00"/>
    <w:rsid w:val="001D5261"/>
    <w:rsid w:val="001D5F2F"/>
    <w:rsid w:val="001D6CAC"/>
    <w:rsid w:val="001D73A9"/>
    <w:rsid w:val="001D7A5D"/>
    <w:rsid w:val="001E0730"/>
    <w:rsid w:val="001E085E"/>
    <w:rsid w:val="001E0D8A"/>
    <w:rsid w:val="001E11FB"/>
    <w:rsid w:val="001E2A7D"/>
    <w:rsid w:val="001E2DC6"/>
    <w:rsid w:val="001E3D4F"/>
    <w:rsid w:val="001E40A0"/>
    <w:rsid w:val="001E5241"/>
    <w:rsid w:val="001E5F6A"/>
    <w:rsid w:val="001E6809"/>
    <w:rsid w:val="001E69F5"/>
    <w:rsid w:val="001F0511"/>
    <w:rsid w:val="001F1FF3"/>
    <w:rsid w:val="001F22FD"/>
    <w:rsid w:val="001F27D0"/>
    <w:rsid w:val="001F3585"/>
    <w:rsid w:val="001F36C9"/>
    <w:rsid w:val="001F3C32"/>
    <w:rsid w:val="001F4AC3"/>
    <w:rsid w:val="001F6A62"/>
    <w:rsid w:val="001F7985"/>
    <w:rsid w:val="001F7B37"/>
    <w:rsid w:val="00201CB5"/>
    <w:rsid w:val="00202598"/>
    <w:rsid w:val="00202F90"/>
    <w:rsid w:val="00203109"/>
    <w:rsid w:val="0020323B"/>
    <w:rsid w:val="00203FF4"/>
    <w:rsid w:val="002070ED"/>
    <w:rsid w:val="002074D2"/>
    <w:rsid w:val="00207662"/>
    <w:rsid w:val="00207EF6"/>
    <w:rsid w:val="002119C2"/>
    <w:rsid w:val="0021476D"/>
    <w:rsid w:val="002147F2"/>
    <w:rsid w:val="00215EA8"/>
    <w:rsid w:val="002206B3"/>
    <w:rsid w:val="00221B7A"/>
    <w:rsid w:val="00222D2F"/>
    <w:rsid w:val="00225BAB"/>
    <w:rsid w:val="002274C0"/>
    <w:rsid w:val="00231A61"/>
    <w:rsid w:val="00231EE6"/>
    <w:rsid w:val="0023268A"/>
    <w:rsid w:val="0023308F"/>
    <w:rsid w:val="00234ADC"/>
    <w:rsid w:val="0023537F"/>
    <w:rsid w:val="002360DA"/>
    <w:rsid w:val="002361C0"/>
    <w:rsid w:val="00236A14"/>
    <w:rsid w:val="00237A05"/>
    <w:rsid w:val="00242881"/>
    <w:rsid w:val="00243327"/>
    <w:rsid w:val="002437E9"/>
    <w:rsid w:val="00243A63"/>
    <w:rsid w:val="002443C3"/>
    <w:rsid w:val="00246B8E"/>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673"/>
    <w:rsid w:val="00276E5E"/>
    <w:rsid w:val="002816FF"/>
    <w:rsid w:val="00281FB3"/>
    <w:rsid w:val="00284A77"/>
    <w:rsid w:val="00285F55"/>
    <w:rsid w:val="0028685C"/>
    <w:rsid w:val="00287CA7"/>
    <w:rsid w:val="00291D60"/>
    <w:rsid w:val="00292463"/>
    <w:rsid w:val="00294415"/>
    <w:rsid w:val="002948A6"/>
    <w:rsid w:val="00296C0B"/>
    <w:rsid w:val="00296DF3"/>
    <w:rsid w:val="00296E8B"/>
    <w:rsid w:val="002976E3"/>
    <w:rsid w:val="002A0226"/>
    <w:rsid w:val="002A18D6"/>
    <w:rsid w:val="002A1DEC"/>
    <w:rsid w:val="002A29A6"/>
    <w:rsid w:val="002A304C"/>
    <w:rsid w:val="002A4749"/>
    <w:rsid w:val="002B171F"/>
    <w:rsid w:val="002B26D6"/>
    <w:rsid w:val="002B402A"/>
    <w:rsid w:val="002B4F4E"/>
    <w:rsid w:val="002B520C"/>
    <w:rsid w:val="002B6427"/>
    <w:rsid w:val="002B7A39"/>
    <w:rsid w:val="002C03BD"/>
    <w:rsid w:val="002C1C5F"/>
    <w:rsid w:val="002C20E5"/>
    <w:rsid w:val="002C2761"/>
    <w:rsid w:val="002C45DB"/>
    <w:rsid w:val="002C568F"/>
    <w:rsid w:val="002C60F4"/>
    <w:rsid w:val="002C656A"/>
    <w:rsid w:val="002C6D03"/>
    <w:rsid w:val="002C786F"/>
    <w:rsid w:val="002D180A"/>
    <w:rsid w:val="002D281B"/>
    <w:rsid w:val="002D3DA0"/>
    <w:rsid w:val="002D428F"/>
    <w:rsid w:val="002D4E42"/>
    <w:rsid w:val="002D5DD4"/>
    <w:rsid w:val="002D665F"/>
    <w:rsid w:val="002E02C5"/>
    <w:rsid w:val="002E04D2"/>
    <w:rsid w:val="002E0AF3"/>
    <w:rsid w:val="002E1F96"/>
    <w:rsid w:val="002E24E9"/>
    <w:rsid w:val="002E2507"/>
    <w:rsid w:val="002E3AB8"/>
    <w:rsid w:val="002E4145"/>
    <w:rsid w:val="002F1033"/>
    <w:rsid w:val="002F2D96"/>
    <w:rsid w:val="002F42C3"/>
    <w:rsid w:val="002F46FC"/>
    <w:rsid w:val="002F4D66"/>
    <w:rsid w:val="002F65E3"/>
    <w:rsid w:val="00301DAC"/>
    <w:rsid w:val="00304848"/>
    <w:rsid w:val="00304D18"/>
    <w:rsid w:val="00310CFD"/>
    <w:rsid w:val="00310F91"/>
    <w:rsid w:val="00312441"/>
    <w:rsid w:val="00316A34"/>
    <w:rsid w:val="00316A38"/>
    <w:rsid w:val="00320A58"/>
    <w:rsid w:val="00321C03"/>
    <w:rsid w:val="00322780"/>
    <w:rsid w:val="00323223"/>
    <w:rsid w:val="0032347B"/>
    <w:rsid w:val="003238D1"/>
    <w:rsid w:val="00326663"/>
    <w:rsid w:val="003306C0"/>
    <w:rsid w:val="00330F5D"/>
    <w:rsid w:val="003324DB"/>
    <w:rsid w:val="00332682"/>
    <w:rsid w:val="003337EF"/>
    <w:rsid w:val="00333CD6"/>
    <w:rsid w:val="003360CC"/>
    <w:rsid w:val="00336399"/>
    <w:rsid w:val="00337F92"/>
    <w:rsid w:val="0034188D"/>
    <w:rsid w:val="0034219E"/>
    <w:rsid w:val="00342A14"/>
    <w:rsid w:val="00343345"/>
    <w:rsid w:val="00344082"/>
    <w:rsid w:val="003456E7"/>
    <w:rsid w:val="003461EF"/>
    <w:rsid w:val="00346D6B"/>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36C8"/>
    <w:rsid w:val="0036478E"/>
    <w:rsid w:val="0036506B"/>
    <w:rsid w:val="003653FA"/>
    <w:rsid w:val="00366207"/>
    <w:rsid w:val="003700EB"/>
    <w:rsid w:val="003725D1"/>
    <w:rsid w:val="00372A92"/>
    <w:rsid w:val="003733F1"/>
    <w:rsid w:val="0037385F"/>
    <w:rsid w:val="0037432B"/>
    <w:rsid w:val="00374546"/>
    <w:rsid w:val="00375153"/>
    <w:rsid w:val="003778B8"/>
    <w:rsid w:val="00380A17"/>
    <w:rsid w:val="003837C8"/>
    <w:rsid w:val="00383CDF"/>
    <w:rsid w:val="00385A0E"/>
    <w:rsid w:val="00385EAF"/>
    <w:rsid w:val="003868D8"/>
    <w:rsid w:val="0038766F"/>
    <w:rsid w:val="003905A1"/>
    <w:rsid w:val="00390AE0"/>
    <w:rsid w:val="003931B9"/>
    <w:rsid w:val="0039337A"/>
    <w:rsid w:val="003936AC"/>
    <w:rsid w:val="00393E7A"/>
    <w:rsid w:val="00393E8D"/>
    <w:rsid w:val="0039675C"/>
    <w:rsid w:val="003A0AF8"/>
    <w:rsid w:val="003A0E4C"/>
    <w:rsid w:val="003A275F"/>
    <w:rsid w:val="003A2EBD"/>
    <w:rsid w:val="003A3EA5"/>
    <w:rsid w:val="003A3EAA"/>
    <w:rsid w:val="003A4BA6"/>
    <w:rsid w:val="003A658C"/>
    <w:rsid w:val="003A7B8B"/>
    <w:rsid w:val="003B0328"/>
    <w:rsid w:val="003B1C80"/>
    <w:rsid w:val="003B1F5E"/>
    <w:rsid w:val="003B200A"/>
    <w:rsid w:val="003B2010"/>
    <w:rsid w:val="003B29DC"/>
    <w:rsid w:val="003B3907"/>
    <w:rsid w:val="003B43F3"/>
    <w:rsid w:val="003B5FD2"/>
    <w:rsid w:val="003B7650"/>
    <w:rsid w:val="003B7E8B"/>
    <w:rsid w:val="003C080C"/>
    <w:rsid w:val="003C1DDB"/>
    <w:rsid w:val="003C2FE0"/>
    <w:rsid w:val="003C3BF4"/>
    <w:rsid w:val="003C4EFB"/>
    <w:rsid w:val="003C5F4E"/>
    <w:rsid w:val="003C6352"/>
    <w:rsid w:val="003D1D0C"/>
    <w:rsid w:val="003D2EB6"/>
    <w:rsid w:val="003D5866"/>
    <w:rsid w:val="003D643B"/>
    <w:rsid w:val="003D7725"/>
    <w:rsid w:val="003E09D2"/>
    <w:rsid w:val="003E3EC5"/>
    <w:rsid w:val="003E3F85"/>
    <w:rsid w:val="003E5B71"/>
    <w:rsid w:val="003E5C87"/>
    <w:rsid w:val="003E5FA6"/>
    <w:rsid w:val="003E64E0"/>
    <w:rsid w:val="003E74BC"/>
    <w:rsid w:val="003F02E5"/>
    <w:rsid w:val="003F02F9"/>
    <w:rsid w:val="003F1BA7"/>
    <w:rsid w:val="003F1FC4"/>
    <w:rsid w:val="003F3442"/>
    <w:rsid w:val="003F474E"/>
    <w:rsid w:val="003F4D2F"/>
    <w:rsid w:val="003F53A4"/>
    <w:rsid w:val="003F54A4"/>
    <w:rsid w:val="003F5D1D"/>
    <w:rsid w:val="003F6AD6"/>
    <w:rsid w:val="003F7337"/>
    <w:rsid w:val="003F733F"/>
    <w:rsid w:val="003F7C2B"/>
    <w:rsid w:val="00400CED"/>
    <w:rsid w:val="00401FD2"/>
    <w:rsid w:val="00402699"/>
    <w:rsid w:val="00402B8F"/>
    <w:rsid w:val="004033CB"/>
    <w:rsid w:val="00403B5F"/>
    <w:rsid w:val="00405334"/>
    <w:rsid w:val="004058E4"/>
    <w:rsid w:val="00405C17"/>
    <w:rsid w:val="0041262D"/>
    <w:rsid w:val="00413949"/>
    <w:rsid w:val="00414BA2"/>
    <w:rsid w:val="00416502"/>
    <w:rsid w:val="00420088"/>
    <w:rsid w:val="004202B2"/>
    <w:rsid w:val="00422729"/>
    <w:rsid w:val="00423598"/>
    <w:rsid w:val="00424135"/>
    <w:rsid w:val="0042549A"/>
    <w:rsid w:val="00427A31"/>
    <w:rsid w:val="0043016C"/>
    <w:rsid w:val="00430BBE"/>
    <w:rsid w:val="00430D9E"/>
    <w:rsid w:val="00433154"/>
    <w:rsid w:val="0043400E"/>
    <w:rsid w:val="00434BB6"/>
    <w:rsid w:val="0043575D"/>
    <w:rsid w:val="00440550"/>
    <w:rsid w:val="0044072F"/>
    <w:rsid w:val="00440903"/>
    <w:rsid w:val="00440E88"/>
    <w:rsid w:val="0044211A"/>
    <w:rsid w:val="0044246C"/>
    <w:rsid w:val="00443568"/>
    <w:rsid w:val="00445981"/>
    <w:rsid w:val="00445EAD"/>
    <w:rsid w:val="0044617E"/>
    <w:rsid w:val="004523CF"/>
    <w:rsid w:val="00452920"/>
    <w:rsid w:val="004534C4"/>
    <w:rsid w:val="00453993"/>
    <w:rsid w:val="00455594"/>
    <w:rsid w:val="0045684F"/>
    <w:rsid w:val="00456871"/>
    <w:rsid w:val="00461097"/>
    <w:rsid w:val="00462146"/>
    <w:rsid w:val="00466DCF"/>
    <w:rsid w:val="00466E32"/>
    <w:rsid w:val="004714D9"/>
    <w:rsid w:val="00472580"/>
    <w:rsid w:val="00472DFF"/>
    <w:rsid w:val="00473041"/>
    <w:rsid w:val="00474109"/>
    <w:rsid w:val="0047658A"/>
    <w:rsid w:val="00476D2E"/>
    <w:rsid w:val="00481297"/>
    <w:rsid w:val="004812CA"/>
    <w:rsid w:val="0048265C"/>
    <w:rsid w:val="00482953"/>
    <w:rsid w:val="004865D9"/>
    <w:rsid w:val="00487961"/>
    <w:rsid w:val="0049115E"/>
    <w:rsid w:val="004915E6"/>
    <w:rsid w:val="00491629"/>
    <w:rsid w:val="00491B79"/>
    <w:rsid w:val="004938F7"/>
    <w:rsid w:val="00494E3A"/>
    <w:rsid w:val="004958C7"/>
    <w:rsid w:val="00495CD7"/>
    <w:rsid w:val="004961CD"/>
    <w:rsid w:val="004963EA"/>
    <w:rsid w:val="00497092"/>
    <w:rsid w:val="00497C0C"/>
    <w:rsid w:val="004A010F"/>
    <w:rsid w:val="004A04CF"/>
    <w:rsid w:val="004A1525"/>
    <w:rsid w:val="004A3362"/>
    <w:rsid w:val="004A4616"/>
    <w:rsid w:val="004A4D35"/>
    <w:rsid w:val="004A4D91"/>
    <w:rsid w:val="004A5616"/>
    <w:rsid w:val="004A7AF4"/>
    <w:rsid w:val="004B00A9"/>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1B23"/>
    <w:rsid w:val="004D2F71"/>
    <w:rsid w:val="004D480E"/>
    <w:rsid w:val="004D4C22"/>
    <w:rsid w:val="004D4DDE"/>
    <w:rsid w:val="004D5E8A"/>
    <w:rsid w:val="004D61B9"/>
    <w:rsid w:val="004D6808"/>
    <w:rsid w:val="004E1F8C"/>
    <w:rsid w:val="004E415C"/>
    <w:rsid w:val="004E440D"/>
    <w:rsid w:val="004E4605"/>
    <w:rsid w:val="004E4FBD"/>
    <w:rsid w:val="004E6657"/>
    <w:rsid w:val="004E7BB8"/>
    <w:rsid w:val="004F0CAB"/>
    <w:rsid w:val="004F1628"/>
    <w:rsid w:val="004F23AE"/>
    <w:rsid w:val="004F264B"/>
    <w:rsid w:val="004F45E5"/>
    <w:rsid w:val="004F4EBD"/>
    <w:rsid w:val="004F71FD"/>
    <w:rsid w:val="004F77C7"/>
    <w:rsid w:val="005006CB"/>
    <w:rsid w:val="005009F9"/>
    <w:rsid w:val="0050107D"/>
    <w:rsid w:val="00503BB3"/>
    <w:rsid w:val="0050559E"/>
    <w:rsid w:val="00505C47"/>
    <w:rsid w:val="005077B1"/>
    <w:rsid w:val="005125E2"/>
    <w:rsid w:val="00512BF7"/>
    <w:rsid w:val="00514229"/>
    <w:rsid w:val="00514F78"/>
    <w:rsid w:val="00516234"/>
    <w:rsid w:val="005168E7"/>
    <w:rsid w:val="00516F75"/>
    <w:rsid w:val="0052139E"/>
    <w:rsid w:val="00522823"/>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56C"/>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58D"/>
    <w:rsid w:val="00566ACD"/>
    <w:rsid w:val="00570CB4"/>
    <w:rsid w:val="00572199"/>
    <w:rsid w:val="0057242B"/>
    <w:rsid w:val="0057242F"/>
    <w:rsid w:val="005724AA"/>
    <w:rsid w:val="005728B8"/>
    <w:rsid w:val="00574094"/>
    <w:rsid w:val="00574389"/>
    <w:rsid w:val="0057625F"/>
    <w:rsid w:val="00576B13"/>
    <w:rsid w:val="00577877"/>
    <w:rsid w:val="005802A4"/>
    <w:rsid w:val="00581378"/>
    <w:rsid w:val="0058240B"/>
    <w:rsid w:val="0058249E"/>
    <w:rsid w:val="00582890"/>
    <w:rsid w:val="0058307C"/>
    <w:rsid w:val="005836D4"/>
    <w:rsid w:val="00584113"/>
    <w:rsid w:val="00586F00"/>
    <w:rsid w:val="00590DAC"/>
    <w:rsid w:val="0059175C"/>
    <w:rsid w:val="005917EC"/>
    <w:rsid w:val="0059504F"/>
    <w:rsid w:val="0059532D"/>
    <w:rsid w:val="00595E25"/>
    <w:rsid w:val="00596E66"/>
    <w:rsid w:val="005A068B"/>
    <w:rsid w:val="005A1063"/>
    <w:rsid w:val="005A1E72"/>
    <w:rsid w:val="005A21F6"/>
    <w:rsid w:val="005A2D17"/>
    <w:rsid w:val="005A3795"/>
    <w:rsid w:val="005A3CF1"/>
    <w:rsid w:val="005A4111"/>
    <w:rsid w:val="005A6546"/>
    <w:rsid w:val="005A6E82"/>
    <w:rsid w:val="005B14C8"/>
    <w:rsid w:val="005B2AD0"/>
    <w:rsid w:val="005B5EAD"/>
    <w:rsid w:val="005B741B"/>
    <w:rsid w:val="005C110C"/>
    <w:rsid w:val="005C1D18"/>
    <w:rsid w:val="005C2555"/>
    <w:rsid w:val="005C3CD5"/>
    <w:rsid w:val="005C437F"/>
    <w:rsid w:val="005C4D36"/>
    <w:rsid w:val="005C51CD"/>
    <w:rsid w:val="005C65AF"/>
    <w:rsid w:val="005C78E7"/>
    <w:rsid w:val="005D10AB"/>
    <w:rsid w:val="005D12FB"/>
    <w:rsid w:val="005D2F19"/>
    <w:rsid w:val="005D3ED0"/>
    <w:rsid w:val="005D42FD"/>
    <w:rsid w:val="005D5F1A"/>
    <w:rsid w:val="005E2CD4"/>
    <w:rsid w:val="005E361B"/>
    <w:rsid w:val="005E37C5"/>
    <w:rsid w:val="005E403F"/>
    <w:rsid w:val="005E4930"/>
    <w:rsid w:val="005E6E2D"/>
    <w:rsid w:val="005E7C8F"/>
    <w:rsid w:val="005F0A19"/>
    <w:rsid w:val="005F4187"/>
    <w:rsid w:val="005F67F5"/>
    <w:rsid w:val="005F686D"/>
    <w:rsid w:val="005F689D"/>
    <w:rsid w:val="005F6DB3"/>
    <w:rsid w:val="005F742B"/>
    <w:rsid w:val="00600E12"/>
    <w:rsid w:val="00601697"/>
    <w:rsid w:val="00603A86"/>
    <w:rsid w:val="00603C7F"/>
    <w:rsid w:val="00603D49"/>
    <w:rsid w:val="00605915"/>
    <w:rsid w:val="00606C3D"/>
    <w:rsid w:val="006111E0"/>
    <w:rsid w:val="00612698"/>
    <w:rsid w:val="00612EEF"/>
    <w:rsid w:val="00616A11"/>
    <w:rsid w:val="00617352"/>
    <w:rsid w:val="006205AF"/>
    <w:rsid w:val="00621EDB"/>
    <w:rsid w:val="00622236"/>
    <w:rsid w:val="0062392C"/>
    <w:rsid w:val="0062454F"/>
    <w:rsid w:val="00626D88"/>
    <w:rsid w:val="00627050"/>
    <w:rsid w:val="0062712B"/>
    <w:rsid w:val="00627BF9"/>
    <w:rsid w:val="00627C8E"/>
    <w:rsid w:val="0063039E"/>
    <w:rsid w:val="00630C09"/>
    <w:rsid w:val="006341FF"/>
    <w:rsid w:val="006366D0"/>
    <w:rsid w:val="00640576"/>
    <w:rsid w:val="006420FB"/>
    <w:rsid w:val="00643780"/>
    <w:rsid w:val="00643C1A"/>
    <w:rsid w:val="00643FA0"/>
    <w:rsid w:val="00645CFD"/>
    <w:rsid w:val="00645FDE"/>
    <w:rsid w:val="00646CA4"/>
    <w:rsid w:val="00647569"/>
    <w:rsid w:val="006475BB"/>
    <w:rsid w:val="0064761A"/>
    <w:rsid w:val="0064783E"/>
    <w:rsid w:val="00647FB1"/>
    <w:rsid w:val="006508E1"/>
    <w:rsid w:val="00653ED0"/>
    <w:rsid w:val="00654840"/>
    <w:rsid w:val="00654FFB"/>
    <w:rsid w:val="0065509D"/>
    <w:rsid w:val="006552EA"/>
    <w:rsid w:val="00657648"/>
    <w:rsid w:val="00657746"/>
    <w:rsid w:val="00660FE2"/>
    <w:rsid w:val="00661955"/>
    <w:rsid w:val="0066519E"/>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6BBB"/>
    <w:rsid w:val="00697A75"/>
    <w:rsid w:val="006A09FC"/>
    <w:rsid w:val="006A1710"/>
    <w:rsid w:val="006A23DF"/>
    <w:rsid w:val="006A2CDF"/>
    <w:rsid w:val="006A40F2"/>
    <w:rsid w:val="006A6C95"/>
    <w:rsid w:val="006A7C1B"/>
    <w:rsid w:val="006B052B"/>
    <w:rsid w:val="006B1047"/>
    <w:rsid w:val="006B153E"/>
    <w:rsid w:val="006B3F3C"/>
    <w:rsid w:val="006B42EF"/>
    <w:rsid w:val="006B49BF"/>
    <w:rsid w:val="006B4A0D"/>
    <w:rsid w:val="006B4D3F"/>
    <w:rsid w:val="006B5D21"/>
    <w:rsid w:val="006B61A2"/>
    <w:rsid w:val="006B7095"/>
    <w:rsid w:val="006B7576"/>
    <w:rsid w:val="006C155F"/>
    <w:rsid w:val="006C2C85"/>
    <w:rsid w:val="006C60E1"/>
    <w:rsid w:val="006C632F"/>
    <w:rsid w:val="006C6331"/>
    <w:rsid w:val="006D07AF"/>
    <w:rsid w:val="006D10DA"/>
    <w:rsid w:val="006D151D"/>
    <w:rsid w:val="006D223B"/>
    <w:rsid w:val="006D27C6"/>
    <w:rsid w:val="006D36DF"/>
    <w:rsid w:val="006D3708"/>
    <w:rsid w:val="006D4B5A"/>
    <w:rsid w:val="006D56A5"/>
    <w:rsid w:val="006D592F"/>
    <w:rsid w:val="006D7BF7"/>
    <w:rsid w:val="006D7EF2"/>
    <w:rsid w:val="006E04B1"/>
    <w:rsid w:val="006E0599"/>
    <w:rsid w:val="006E0A93"/>
    <w:rsid w:val="006E22BD"/>
    <w:rsid w:val="006E22C0"/>
    <w:rsid w:val="006E2940"/>
    <w:rsid w:val="006E2B68"/>
    <w:rsid w:val="006E39D3"/>
    <w:rsid w:val="006E61AD"/>
    <w:rsid w:val="006E6458"/>
    <w:rsid w:val="006E6658"/>
    <w:rsid w:val="006E6FD9"/>
    <w:rsid w:val="006F08BF"/>
    <w:rsid w:val="006F185F"/>
    <w:rsid w:val="006F2695"/>
    <w:rsid w:val="006F3248"/>
    <w:rsid w:val="006F3551"/>
    <w:rsid w:val="006F35D0"/>
    <w:rsid w:val="006F38CB"/>
    <w:rsid w:val="006F4F29"/>
    <w:rsid w:val="006F5AEE"/>
    <w:rsid w:val="0070043B"/>
    <w:rsid w:val="00701BF3"/>
    <w:rsid w:val="00703CEB"/>
    <w:rsid w:val="007047D9"/>
    <w:rsid w:val="00704A8F"/>
    <w:rsid w:val="007113B1"/>
    <w:rsid w:val="00711C23"/>
    <w:rsid w:val="00711F6E"/>
    <w:rsid w:val="00712081"/>
    <w:rsid w:val="00712237"/>
    <w:rsid w:val="007127B5"/>
    <w:rsid w:val="00712F51"/>
    <w:rsid w:val="00713389"/>
    <w:rsid w:val="00713D84"/>
    <w:rsid w:val="00717451"/>
    <w:rsid w:val="00717EFD"/>
    <w:rsid w:val="00722152"/>
    <w:rsid w:val="007226EA"/>
    <w:rsid w:val="0072411F"/>
    <w:rsid w:val="00724AC2"/>
    <w:rsid w:val="00724F0F"/>
    <w:rsid w:val="00726163"/>
    <w:rsid w:val="007262D2"/>
    <w:rsid w:val="007268E7"/>
    <w:rsid w:val="00726F73"/>
    <w:rsid w:val="007270F4"/>
    <w:rsid w:val="007339BC"/>
    <w:rsid w:val="00734B20"/>
    <w:rsid w:val="00735744"/>
    <w:rsid w:val="00740398"/>
    <w:rsid w:val="0074176D"/>
    <w:rsid w:val="00741861"/>
    <w:rsid w:val="0074205E"/>
    <w:rsid w:val="007421B8"/>
    <w:rsid w:val="007424FB"/>
    <w:rsid w:val="00743572"/>
    <w:rsid w:val="00743F72"/>
    <w:rsid w:val="00745771"/>
    <w:rsid w:val="00747445"/>
    <w:rsid w:val="00747BA5"/>
    <w:rsid w:val="00750193"/>
    <w:rsid w:val="0075283E"/>
    <w:rsid w:val="00752CBA"/>
    <w:rsid w:val="00752CDF"/>
    <w:rsid w:val="0075317B"/>
    <w:rsid w:val="00754113"/>
    <w:rsid w:val="007551D8"/>
    <w:rsid w:val="00755247"/>
    <w:rsid w:val="00755773"/>
    <w:rsid w:val="00755C39"/>
    <w:rsid w:val="0076188F"/>
    <w:rsid w:val="00761AE8"/>
    <w:rsid w:val="007625E5"/>
    <w:rsid w:val="007642F1"/>
    <w:rsid w:val="00764538"/>
    <w:rsid w:val="007645ED"/>
    <w:rsid w:val="00764A51"/>
    <w:rsid w:val="00764AE3"/>
    <w:rsid w:val="00764FB4"/>
    <w:rsid w:val="0076572E"/>
    <w:rsid w:val="00767CBA"/>
    <w:rsid w:val="0077155C"/>
    <w:rsid w:val="00771802"/>
    <w:rsid w:val="00772576"/>
    <w:rsid w:val="00772A3C"/>
    <w:rsid w:val="00773988"/>
    <w:rsid w:val="00775F66"/>
    <w:rsid w:val="007766DD"/>
    <w:rsid w:val="00780319"/>
    <w:rsid w:val="007805BB"/>
    <w:rsid w:val="007805FB"/>
    <w:rsid w:val="00780FCB"/>
    <w:rsid w:val="00781C73"/>
    <w:rsid w:val="007831C3"/>
    <w:rsid w:val="00783B48"/>
    <w:rsid w:val="00784973"/>
    <w:rsid w:val="00784C56"/>
    <w:rsid w:val="00784E54"/>
    <w:rsid w:val="00785097"/>
    <w:rsid w:val="00787BE3"/>
    <w:rsid w:val="0079425A"/>
    <w:rsid w:val="00795BB4"/>
    <w:rsid w:val="00797093"/>
    <w:rsid w:val="007A0675"/>
    <w:rsid w:val="007A4CC9"/>
    <w:rsid w:val="007A510C"/>
    <w:rsid w:val="007A59FF"/>
    <w:rsid w:val="007A5EE7"/>
    <w:rsid w:val="007A6514"/>
    <w:rsid w:val="007A6603"/>
    <w:rsid w:val="007A6FCD"/>
    <w:rsid w:val="007A78E3"/>
    <w:rsid w:val="007B03A4"/>
    <w:rsid w:val="007B07AB"/>
    <w:rsid w:val="007B087A"/>
    <w:rsid w:val="007B15C2"/>
    <w:rsid w:val="007B1A13"/>
    <w:rsid w:val="007B3542"/>
    <w:rsid w:val="007C02C1"/>
    <w:rsid w:val="007C1589"/>
    <w:rsid w:val="007C1D46"/>
    <w:rsid w:val="007C2F12"/>
    <w:rsid w:val="007C303C"/>
    <w:rsid w:val="007C36B5"/>
    <w:rsid w:val="007C49D1"/>
    <w:rsid w:val="007C5810"/>
    <w:rsid w:val="007C59C5"/>
    <w:rsid w:val="007C59FC"/>
    <w:rsid w:val="007C6406"/>
    <w:rsid w:val="007C6567"/>
    <w:rsid w:val="007C65E0"/>
    <w:rsid w:val="007C66B5"/>
    <w:rsid w:val="007D0DD0"/>
    <w:rsid w:val="007D0F2F"/>
    <w:rsid w:val="007D1776"/>
    <w:rsid w:val="007D6EE1"/>
    <w:rsid w:val="007E1ECA"/>
    <w:rsid w:val="007E2E9C"/>
    <w:rsid w:val="007E6371"/>
    <w:rsid w:val="007E697E"/>
    <w:rsid w:val="007F093F"/>
    <w:rsid w:val="007F1452"/>
    <w:rsid w:val="007F14FA"/>
    <w:rsid w:val="007F1851"/>
    <w:rsid w:val="007F1CA4"/>
    <w:rsid w:val="007F49DA"/>
    <w:rsid w:val="007F5582"/>
    <w:rsid w:val="007F5C0F"/>
    <w:rsid w:val="007F6002"/>
    <w:rsid w:val="007F656B"/>
    <w:rsid w:val="007F7030"/>
    <w:rsid w:val="007F7232"/>
    <w:rsid w:val="007F758E"/>
    <w:rsid w:val="007F7B59"/>
    <w:rsid w:val="008025EF"/>
    <w:rsid w:val="0080361B"/>
    <w:rsid w:val="00803953"/>
    <w:rsid w:val="00805817"/>
    <w:rsid w:val="00806DE7"/>
    <w:rsid w:val="0080739D"/>
    <w:rsid w:val="00807460"/>
    <w:rsid w:val="00810AF7"/>
    <w:rsid w:val="00811117"/>
    <w:rsid w:val="008113E6"/>
    <w:rsid w:val="008124CF"/>
    <w:rsid w:val="00814547"/>
    <w:rsid w:val="00814B10"/>
    <w:rsid w:val="00814B70"/>
    <w:rsid w:val="008151F0"/>
    <w:rsid w:val="00815A55"/>
    <w:rsid w:val="008161EB"/>
    <w:rsid w:val="008163AC"/>
    <w:rsid w:val="00816430"/>
    <w:rsid w:val="00816608"/>
    <w:rsid w:val="00816B4C"/>
    <w:rsid w:val="00816D2E"/>
    <w:rsid w:val="00820338"/>
    <w:rsid w:val="008213A5"/>
    <w:rsid w:val="00821457"/>
    <w:rsid w:val="00822A1E"/>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299E"/>
    <w:rsid w:val="00853802"/>
    <w:rsid w:val="00853B40"/>
    <w:rsid w:val="00856F93"/>
    <w:rsid w:val="00857A67"/>
    <w:rsid w:val="008612C4"/>
    <w:rsid w:val="0086268D"/>
    <w:rsid w:val="0086321C"/>
    <w:rsid w:val="008637CF"/>
    <w:rsid w:val="00865396"/>
    <w:rsid w:val="00865513"/>
    <w:rsid w:val="008655B9"/>
    <w:rsid w:val="008658D2"/>
    <w:rsid w:val="008675D4"/>
    <w:rsid w:val="0087266C"/>
    <w:rsid w:val="008726F1"/>
    <w:rsid w:val="00872B8A"/>
    <w:rsid w:val="00872E4B"/>
    <w:rsid w:val="00873573"/>
    <w:rsid w:val="00874A40"/>
    <w:rsid w:val="008750DC"/>
    <w:rsid w:val="0087511F"/>
    <w:rsid w:val="00876521"/>
    <w:rsid w:val="008766C9"/>
    <w:rsid w:val="00877471"/>
    <w:rsid w:val="0088164D"/>
    <w:rsid w:val="00882D6D"/>
    <w:rsid w:val="00884825"/>
    <w:rsid w:val="00884D10"/>
    <w:rsid w:val="0088517F"/>
    <w:rsid w:val="008856A3"/>
    <w:rsid w:val="00885816"/>
    <w:rsid w:val="00886BEF"/>
    <w:rsid w:val="00887FE3"/>
    <w:rsid w:val="00890417"/>
    <w:rsid w:val="008917D7"/>
    <w:rsid w:val="0089240E"/>
    <w:rsid w:val="00893462"/>
    <w:rsid w:val="0089406E"/>
    <w:rsid w:val="008940D8"/>
    <w:rsid w:val="00894572"/>
    <w:rsid w:val="008951D3"/>
    <w:rsid w:val="008953F1"/>
    <w:rsid w:val="00896D39"/>
    <w:rsid w:val="0089736A"/>
    <w:rsid w:val="008978E2"/>
    <w:rsid w:val="00897911"/>
    <w:rsid w:val="008A0B27"/>
    <w:rsid w:val="008A1049"/>
    <w:rsid w:val="008A32D9"/>
    <w:rsid w:val="008A35F7"/>
    <w:rsid w:val="008A3876"/>
    <w:rsid w:val="008A590C"/>
    <w:rsid w:val="008A5D2D"/>
    <w:rsid w:val="008A69C4"/>
    <w:rsid w:val="008B099A"/>
    <w:rsid w:val="008B0BD1"/>
    <w:rsid w:val="008B2B37"/>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4693"/>
    <w:rsid w:val="008D57A4"/>
    <w:rsid w:val="008D5CBD"/>
    <w:rsid w:val="008D6EF2"/>
    <w:rsid w:val="008E057A"/>
    <w:rsid w:val="008E1A88"/>
    <w:rsid w:val="008E1B39"/>
    <w:rsid w:val="008E1D90"/>
    <w:rsid w:val="008E20B9"/>
    <w:rsid w:val="008E2CAC"/>
    <w:rsid w:val="008E3F48"/>
    <w:rsid w:val="008E4C8E"/>
    <w:rsid w:val="008E61A6"/>
    <w:rsid w:val="008E71FD"/>
    <w:rsid w:val="008E7853"/>
    <w:rsid w:val="008F03DC"/>
    <w:rsid w:val="008F147E"/>
    <w:rsid w:val="008F155C"/>
    <w:rsid w:val="008F23E7"/>
    <w:rsid w:val="008F2AA2"/>
    <w:rsid w:val="008F2DCD"/>
    <w:rsid w:val="008F30A1"/>
    <w:rsid w:val="008F46E9"/>
    <w:rsid w:val="008F490D"/>
    <w:rsid w:val="008F7CC9"/>
    <w:rsid w:val="00900AAF"/>
    <w:rsid w:val="0090154E"/>
    <w:rsid w:val="00901792"/>
    <w:rsid w:val="0090189C"/>
    <w:rsid w:val="00901E52"/>
    <w:rsid w:val="009027AC"/>
    <w:rsid w:val="009036E8"/>
    <w:rsid w:val="009045A8"/>
    <w:rsid w:val="00910794"/>
    <w:rsid w:val="009111BF"/>
    <w:rsid w:val="00911C44"/>
    <w:rsid w:val="00911EF6"/>
    <w:rsid w:val="00911F3F"/>
    <w:rsid w:val="009136CA"/>
    <w:rsid w:val="009167AD"/>
    <w:rsid w:val="00921585"/>
    <w:rsid w:val="00922CB9"/>
    <w:rsid w:val="00926E66"/>
    <w:rsid w:val="00927872"/>
    <w:rsid w:val="0092797B"/>
    <w:rsid w:val="00927F0F"/>
    <w:rsid w:val="00930157"/>
    <w:rsid w:val="009315B8"/>
    <w:rsid w:val="009326F1"/>
    <w:rsid w:val="00933211"/>
    <w:rsid w:val="0093340F"/>
    <w:rsid w:val="00933D35"/>
    <w:rsid w:val="00934452"/>
    <w:rsid w:val="00936003"/>
    <w:rsid w:val="00937165"/>
    <w:rsid w:val="009376FB"/>
    <w:rsid w:val="00937791"/>
    <w:rsid w:val="00937A68"/>
    <w:rsid w:val="009403CA"/>
    <w:rsid w:val="00940B1C"/>
    <w:rsid w:val="00942BD5"/>
    <w:rsid w:val="00944C36"/>
    <w:rsid w:val="0094588D"/>
    <w:rsid w:val="00945B09"/>
    <w:rsid w:val="009462CF"/>
    <w:rsid w:val="00947DDF"/>
    <w:rsid w:val="00950781"/>
    <w:rsid w:val="00950A0D"/>
    <w:rsid w:val="00950CAB"/>
    <w:rsid w:val="00952086"/>
    <w:rsid w:val="00954561"/>
    <w:rsid w:val="00954A3E"/>
    <w:rsid w:val="009562AB"/>
    <w:rsid w:val="0095721D"/>
    <w:rsid w:val="009572D9"/>
    <w:rsid w:val="00957EA5"/>
    <w:rsid w:val="00963A53"/>
    <w:rsid w:val="00964F0D"/>
    <w:rsid w:val="0096600E"/>
    <w:rsid w:val="009663D0"/>
    <w:rsid w:val="00970864"/>
    <w:rsid w:val="0097140F"/>
    <w:rsid w:val="0097345F"/>
    <w:rsid w:val="0097400B"/>
    <w:rsid w:val="009749BD"/>
    <w:rsid w:val="00975A52"/>
    <w:rsid w:val="00976363"/>
    <w:rsid w:val="009774EC"/>
    <w:rsid w:val="00977B5A"/>
    <w:rsid w:val="00980D8C"/>
    <w:rsid w:val="00981667"/>
    <w:rsid w:val="00984E41"/>
    <w:rsid w:val="009863F7"/>
    <w:rsid w:val="00987028"/>
    <w:rsid w:val="0098749A"/>
    <w:rsid w:val="00987A6E"/>
    <w:rsid w:val="00990B80"/>
    <w:rsid w:val="00990E03"/>
    <w:rsid w:val="009917D2"/>
    <w:rsid w:val="00991C5A"/>
    <w:rsid w:val="00991DCC"/>
    <w:rsid w:val="009923E7"/>
    <w:rsid w:val="009927FB"/>
    <w:rsid w:val="00993514"/>
    <w:rsid w:val="00994207"/>
    <w:rsid w:val="00994262"/>
    <w:rsid w:val="0099493F"/>
    <w:rsid w:val="00994974"/>
    <w:rsid w:val="00997CBB"/>
    <w:rsid w:val="00997D32"/>
    <w:rsid w:val="009A0604"/>
    <w:rsid w:val="009A2285"/>
    <w:rsid w:val="009A26A1"/>
    <w:rsid w:val="009A2EAB"/>
    <w:rsid w:val="009A3DCF"/>
    <w:rsid w:val="009A561D"/>
    <w:rsid w:val="009A63E1"/>
    <w:rsid w:val="009A66F2"/>
    <w:rsid w:val="009A6E2B"/>
    <w:rsid w:val="009A7B31"/>
    <w:rsid w:val="009B0218"/>
    <w:rsid w:val="009B047F"/>
    <w:rsid w:val="009B13C1"/>
    <w:rsid w:val="009B1F66"/>
    <w:rsid w:val="009B47ED"/>
    <w:rsid w:val="009B49EF"/>
    <w:rsid w:val="009B4CF8"/>
    <w:rsid w:val="009B4D35"/>
    <w:rsid w:val="009B66ED"/>
    <w:rsid w:val="009B768B"/>
    <w:rsid w:val="009B789A"/>
    <w:rsid w:val="009C0420"/>
    <w:rsid w:val="009C0B86"/>
    <w:rsid w:val="009C18AA"/>
    <w:rsid w:val="009C1927"/>
    <w:rsid w:val="009C204D"/>
    <w:rsid w:val="009C28A7"/>
    <w:rsid w:val="009C2C61"/>
    <w:rsid w:val="009C35B3"/>
    <w:rsid w:val="009C4248"/>
    <w:rsid w:val="009C4826"/>
    <w:rsid w:val="009C4FE8"/>
    <w:rsid w:val="009C5278"/>
    <w:rsid w:val="009D04C5"/>
    <w:rsid w:val="009D0619"/>
    <w:rsid w:val="009D0690"/>
    <w:rsid w:val="009D0842"/>
    <w:rsid w:val="009D274B"/>
    <w:rsid w:val="009D27AD"/>
    <w:rsid w:val="009D33DB"/>
    <w:rsid w:val="009D5130"/>
    <w:rsid w:val="009D581F"/>
    <w:rsid w:val="009D5C9F"/>
    <w:rsid w:val="009D707F"/>
    <w:rsid w:val="009D7762"/>
    <w:rsid w:val="009D7E10"/>
    <w:rsid w:val="009E0847"/>
    <w:rsid w:val="009E1487"/>
    <w:rsid w:val="009E17E8"/>
    <w:rsid w:val="009E1B43"/>
    <w:rsid w:val="009E1CA5"/>
    <w:rsid w:val="009E5B51"/>
    <w:rsid w:val="009E6063"/>
    <w:rsid w:val="009E60B0"/>
    <w:rsid w:val="009E6D09"/>
    <w:rsid w:val="009E7731"/>
    <w:rsid w:val="009E7E60"/>
    <w:rsid w:val="009F0DB6"/>
    <w:rsid w:val="009F117B"/>
    <w:rsid w:val="009F155A"/>
    <w:rsid w:val="009F1E51"/>
    <w:rsid w:val="009F36E2"/>
    <w:rsid w:val="009F3F3C"/>
    <w:rsid w:val="009F3F4C"/>
    <w:rsid w:val="009F4F4D"/>
    <w:rsid w:val="009F5EC2"/>
    <w:rsid w:val="009F6CF5"/>
    <w:rsid w:val="009F7E59"/>
    <w:rsid w:val="00A005D1"/>
    <w:rsid w:val="00A0063E"/>
    <w:rsid w:val="00A02C9B"/>
    <w:rsid w:val="00A032BD"/>
    <w:rsid w:val="00A05B20"/>
    <w:rsid w:val="00A05DAD"/>
    <w:rsid w:val="00A06923"/>
    <w:rsid w:val="00A06EF8"/>
    <w:rsid w:val="00A07242"/>
    <w:rsid w:val="00A0727A"/>
    <w:rsid w:val="00A07367"/>
    <w:rsid w:val="00A07DDA"/>
    <w:rsid w:val="00A11F3A"/>
    <w:rsid w:val="00A12C99"/>
    <w:rsid w:val="00A13072"/>
    <w:rsid w:val="00A152E2"/>
    <w:rsid w:val="00A16F56"/>
    <w:rsid w:val="00A20416"/>
    <w:rsid w:val="00A220BC"/>
    <w:rsid w:val="00A221B9"/>
    <w:rsid w:val="00A23A87"/>
    <w:rsid w:val="00A24033"/>
    <w:rsid w:val="00A2439B"/>
    <w:rsid w:val="00A243DB"/>
    <w:rsid w:val="00A24507"/>
    <w:rsid w:val="00A25273"/>
    <w:rsid w:val="00A25496"/>
    <w:rsid w:val="00A2727C"/>
    <w:rsid w:val="00A30113"/>
    <w:rsid w:val="00A30137"/>
    <w:rsid w:val="00A30F7A"/>
    <w:rsid w:val="00A32181"/>
    <w:rsid w:val="00A37832"/>
    <w:rsid w:val="00A40F98"/>
    <w:rsid w:val="00A42AEA"/>
    <w:rsid w:val="00A42CB2"/>
    <w:rsid w:val="00A437DF"/>
    <w:rsid w:val="00A43AA7"/>
    <w:rsid w:val="00A43FE7"/>
    <w:rsid w:val="00A445B9"/>
    <w:rsid w:val="00A44619"/>
    <w:rsid w:val="00A44907"/>
    <w:rsid w:val="00A449FE"/>
    <w:rsid w:val="00A465CD"/>
    <w:rsid w:val="00A477BD"/>
    <w:rsid w:val="00A47B30"/>
    <w:rsid w:val="00A51E90"/>
    <w:rsid w:val="00A533F3"/>
    <w:rsid w:val="00A5380D"/>
    <w:rsid w:val="00A5402E"/>
    <w:rsid w:val="00A54870"/>
    <w:rsid w:val="00A549B8"/>
    <w:rsid w:val="00A6154B"/>
    <w:rsid w:val="00A61E60"/>
    <w:rsid w:val="00A62C6D"/>
    <w:rsid w:val="00A63E76"/>
    <w:rsid w:val="00A64166"/>
    <w:rsid w:val="00A65030"/>
    <w:rsid w:val="00A66705"/>
    <w:rsid w:val="00A67319"/>
    <w:rsid w:val="00A673B2"/>
    <w:rsid w:val="00A67D9F"/>
    <w:rsid w:val="00A70D0F"/>
    <w:rsid w:val="00A73A2A"/>
    <w:rsid w:val="00A73D67"/>
    <w:rsid w:val="00A8238B"/>
    <w:rsid w:val="00A82736"/>
    <w:rsid w:val="00A835D5"/>
    <w:rsid w:val="00A83A00"/>
    <w:rsid w:val="00A8513B"/>
    <w:rsid w:val="00A85275"/>
    <w:rsid w:val="00A86097"/>
    <w:rsid w:val="00A866A1"/>
    <w:rsid w:val="00A87786"/>
    <w:rsid w:val="00A914FB"/>
    <w:rsid w:val="00A926CD"/>
    <w:rsid w:val="00A93A3D"/>
    <w:rsid w:val="00A93C43"/>
    <w:rsid w:val="00A94D41"/>
    <w:rsid w:val="00A954D0"/>
    <w:rsid w:val="00A9660D"/>
    <w:rsid w:val="00A96C32"/>
    <w:rsid w:val="00A96EE5"/>
    <w:rsid w:val="00A96EEF"/>
    <w:rsid w:val="00AA1371"/>
    <w:rsid w:val="00AA14F4"/>
    <w:rsid w:val="00AA42FB"/>
    <w:rsid w:val="00AA5BE1"/>
    <w:rsid w:val="00AA6131"/>
    <w:rsid w:val="00AA7381"/>
    <w:rsid w:val="00AA73CF"/>
    <w:rsid w:val="00AA784D"/>
    <w:rsid w:val="00AA7E95"/>
    <w:rsid w:val="00AB1AA6"/>
    <w:rsid w:val="00AB4F6D"/>
    <w:rsid w:val="00AB5DEF"/>
    <w:rsid w:val="00AB6E92"/>
    <w:rsid w:val="00AC568E"/>
    <w:rsid w:val="00AC5768"/>
    <w:rsid w:val="00AC5877"/>
    <w:rsid w:val="00AC67A3"/>
    <w:rsid w:val="00AC720D"/>
    <w:rsid w:val="00AC73BB"/>
    <w:rsid w:val="00AC7711"/>
    <w:rsid w:val="00AC7792"/>
    <w:rsid w:val="00AC77BA"/>
    <w:rsid w:val="00AD05BC"/>
    <w:rsid w:val="00AD0BB3"/>
    <w:rsid w:val="00AD13A7"/>
    <w:rsid w:val="00AD2553"/>
    <w:rsid w:val="00AD31FE"/>
    <w:rsid w:val="00AD4851"/>
    <w:rsid w:val="00AD5565"/>
    <w:rsid w:val="00AD5EFF"/>
    <w:rsid w:val="00AD5FE6"/>
    <w:rsid w:val="00AD68EF"/>
    <w:rsid w:val="00AD6A33"/>
    <w:rsid w:val="00AD6D81"/>
    <w:rsid w:val="00AD7E04"/>
    <w:rsid w:val="00AD7F08"/>
    <w:rsid w:val="00AE399C"/>
    <w:rsid w:val="00AE3D29"/>
    <w:rsid w:val="00AE4660"/>
    <w:rsid w:val="00AE51FC"/>
    <w:rsid w:val="00AE5762"/>
    <w:rsid w:val="00AE69E9"/>
    <w:rsid w:val="00AE7647"/>
    <w:rsid w:val="00AF00F9"/>
    <w:rsid w:val="00AF1CC4"/>
    <w:rsid w:val="00AF1E02"/>
    <w:rsid w:val="00AF3CA1"/>
    <w:rsid w:val="00AF457A"/>
    <w:rsid w:val="00AF482D"/>
    <w:rsid w:val="00AF51AB"/>
    <w:rsid w:val="00AF6CCA"/>
    <w:rsid w:val="00AF6E12"/>
    <w:rsid w:val="00AF73E9"/>
    <w:rsid w:val="00B00421"/>
    <w:rsid w:val="00B00875"/>
    <w:rsid w:val="00B012D0"/>
    <w:rsid w:val="00B0157E"/>
    <w:rsid w:val="00B015CC"/>
    <w:rsid w:val="00B017D2"/>
    <w:rsid w:val="00B02218"/>
    <w:rsid w:val="00B06DCA"/>
    <w:rsid w:val="00B07154"/>
    <w:rsid w:val="00B07C8E"/>
    <w:rsid w:val="00B07D4E"/>
    <w:rsid w:val="00B125A8"/>
    <w:rsid w:val="00B14118"/>
    <w:rsid w:val="00B16CED"/>
    <w:rsid w:val="00B16DA7"/>
    <w:rsid w:val="00B2007F"/>
    <w:rsid w:val="00B21A61"/>
    <w:rsid w:val="00B224F0"/>
    <w:rsid w:val="00B23ED2"/>
    <w:rsid w:val="00B241DA"/>
    <w:rsid w:val="00B25262"/>
    <w:rsid w:val="00B255E5"/>
    <w:rsid w:val="00B25A3B"/>
    <w:rsid w:val="00B25D94"/>
    <w:rsid w:val="00B267B0"/>
    <w:rsid w:val="00B30D31"/>
    <w:rsid w:val="00B30E62"/>
    <w:rsid w:val="00B33743"/>
    <w:rsid w:val="00B34096"/>
    <w:rsid w:val="00B3649B"/>
    <w:rsid w:val="00B36877"/>
    <w:rsid w:val="00B36DFC"/>
    <w:rsid w:val="00B41BE6"/>
    <w:rsid w:val="00B42A58"/>
    <w:rsid w:val="00B43D05"/>
    <w:rsid w:val="00B44FCE"/>
    <w:rsid w:val="00B45F68"/>
    <w:rsid w:val="00B462E9"/>
    <w:rsid w:val="00B50188"/>
    <w:rsid w:val="00B50600"/>
    <w:rsid w:val="00B50D17"/>
    <w:rsid w:val="00B51D8A"/>
    <w:rsid w:val="00B53FEB"/>
    <w:rsid w:val="00B56110"/>
    <w:rsid w:val="00B56986"/>
    <w:rsid w:val="00B56BF9"/>
    <w:rsid w:val="00B61B91"/>
    <w:rsid w:val="00B62920"/>
    <w:rsid w:val="00B62EE6"/>
    <w:rsid w:val="00B63490"/>
    <w:rsid w:val="00B645A8"/>
    <w:rsid w:val="00B66B4E"/>
    <w:rsid w:val="00B66BBF"/>
    <w:rsid w:val="00B6742D"/>
    <w:rsid w:val="00B724DF"/>
    <w:rsid w:val="00B726FC"/>
    <w:rsid w:val="00B7270F"/>
    <w:rsid w:val="00B75D83"/>
    <w:rsid w:val="00B76005"/>
    <w:rsid w:val="00B77C87"/>
    <w:rsid w:val="00B804B9"/>
    <w:rsid w:val="00B807FD"/>
    <w:rsid w:val="00B80FC3"/>
    <w:rsid w:val="00B815D4"/>
    <w:rsid w:val="00B8203E"/>
    <w:rsid w:val="00B822F8"/>
    <w:rsid w:val="00B83278"/>
    <w:rsid w:val="00B83B58"/>
    <w:rsid w:val="00B843EE"/>
    <w:rsid w:val="00B85CE4"/>
    <w:rsid w:val="00B86977"/>
    <w:rsid w:val="00B86E45"/>
    <w:rsid w:val="00B87538"/>
    <w:rsid w:val="00B90839"/>
    <w:rsid w:val="00B92495"/>
    <w:rsid w:val="00B930D1"/>
    <w:rsid w:val="00B960EA"/>
    <w:rsid w:val="00B96670"/>
    <w:rsid w:val="00B97C80"/>
    <w:rsid w:val="00BA0F5B"/>
    <w:rsid w:val="00BA1204"/>
    <w:rsid w:val="00BA1556"/>
    <w:rsid w:val="00BA1A7B"/>
    <w:rsid w:val="00BA1DDB"/>
    <w:rsid w:val="00BA2D7C"/>
    <w:rsid w:val="00BA549E"/>
    <w:rsid w:val="00BB0B51"/>
    <w:rsid w:val="00BB1081"/>
    <w:rsid w:val="00BB18A5"/>
    <w:rsid w:val="00BB5328"/>
    <w:rsid w:val="00BB6721"/>
    <w:rsid w:val="00BB6D67"/>
    <w:rsid w:val="00BC4DA7"/>
    <w:rsid w:val="00BC568C"/>
    <w:rsid w:val="00BC607D"/>
    <w:rsid w:val="00BC617B"/>
    <w:rsid w:val="00BC6CD8"/>
    <w:rsid w:val="00BD00C3"/>
    <w:rsid w:val="00BD07E7"/>
    <w:rsid w:val="00BD0C95"/>
    <w:rsid w:val="00BD28B4"/>
    <w:rsid w:val="00BD2925"/>
    <w:rsid w:val="00BD38EE"/>
    <w:rsid w:val="00BD43B1"/>
    <w:rsid w:val="00BD54FE"/>
    <w:rsid w:val="00BD692D"/>
    <w:rsid w:val="00BD7C9C"/>
    <w:rsid w:val="00BE05AC"/>
    <w:rsid w:val="00BE16A0"/>
    <w:rsid w:val="00BE35E8"/>
    <w:rsid w:val="00BE43F5"/>
    <w:rsid w:val="00BE4A07"/>
    <w:rsid w:val="00BE5617"/>
    <w:rsid w:val="00BE6093"/>
    <w:rsid w:val="00BE60F8"/>
    <w:rsid w:val="00BF230C"/>
    <w:rsid w:val="00BF317F"/>
    <w:rsid w:val="00BF42E7"/>
    <w:rsid w:val="00BF4A66"/>
    <w:rsid w:val="00BF509D"/>
    <w:rsid w:val="00BF6AB6"/>
    <w:rsid w:val="00BF7255"/>
    <w:rsid w:val="00C0000E"/>
    <w:rsid w:val="00C00A3A"/>
    <w:rsid w:val="00C023C6"/>
    <w:rsid w:val="00C02D0C"/>
    <w:rsid w:val="00C03569"/>
    <w:rsid w:val="00C055F9"/>
    <w:rsid w:val="00C05A94"/>
    <w:rsid w:val="00C06872"/>
    <w:rsid w:val="00C0731E"/>
    <w:rsid w:val="00C10688"/>
    <w:rsid w:val="00C127DC"/>
    <w:rsid w:val="00C13219"/>
    <w:rsid w:val="00C1350C"/>
    <w:rsid w:val="00C13A74"/>
    <w:rsid w:val="00C13FB0"/>
    <w:rsid w:val="00C201C7"/>
    <w:rsid w:val="00C20453"/>
    <w:rsid w:val="00C221F8"/>
    <w:rsid w:val="00C2264B"/>
    <w:rsid w:val="00C2375C"/>
    <w:rsid w:val="00C2428D"/>
    <w:rsid w:val="00C26546"/>
    <w:rsid w:val="00C26CF4"/>
    <w:rsid w:val="00C31A87"/>
    <w:rsid w:val="00C31F1F"/>
    <w:rsid w:val="00C320AE"/>
    <w:rsid w:val="00C329A3"/>
    <w:rsid w:val="00C32C84"/>
    <w:rsid w:val="00C36885"/>
    <w:rsid w:val="00C376EA"/>
    <w:rsid w:val="00C402D0"/>
    <w:rsid w:val="00C41622"/>
    <w:rsid w:val="00C44BD1"/>
    <w:rsid w:val="00C45577"/>
    <w:rsid w:val="00C45A68"/>
    <w:rsid w:val="00C4646C"/>
    <w:rsid w:val="00C46754"/>
    <w:rsid w:val="00C46FD8"/>
    <w:rsid w:val="00C4755E"/>
    <w:rsid w:val="00C47853"/>
    <w:rsid w:val="00C50C41"/>
    <w:rsid w:val="00C50E53"/>
    <w:rsid w:val="00C526FF"/>
    <w:rsid w:val="00C5312D"/>
    <w:rsid w:val="00C5651A"/>
    <w:rsid w:val="00C60385"/>
    <w:rsid w:val="00C60A2C"/>
    <w:rsid w:val="00C60F5E"/>
    <w:rsid w:val="00C610BB"/>
    <w:rsid w:val="00C625EA"/>
    <w:rsid w:val="00C64319"/>
    <w:rsid w:val="00C70AD7"/>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2F9B"/>
    <w:rsid w:val="00C945B3"/>
    <w:rsid w:val="00C9551F"/>
    <w:rsid w:val="00C955A0"/>
    <w:rsid w:val="00C961DD"/>
    <w:rsid w:val="00C96E3C"/>
    <w:rsid w:val="00CA0A06"/>
    <w:rsid w:val="00CA1155"/>
    <w:rsid w:val="00CA379B"/>
    <w:rsid w:val="00CA3E87"/>
    <w:rsid w:val="00CA5FD3"/>
    <w:rsid w:val="00CA646D"/>
    <w:rsid w:val="00CA6D64"/>
    <w:rsid w:val="00CA77AB"/>
    <w:rsid w:val="00CB0C30"/>
    <w:rsid w:val="00CB0EAA"/>
    <w:rsid w:val="00CB1306"/>
    <w:rsid w:val="00CB2DE1"/>
    <w:rsid w:val="00CB34A0"/>
    <w:rsid w:val="00CB50DF"/>
    <w:rsid w:val="00CB5AAD"/>
    <w:rsid w:val="00CB6245"/>
    <w:rsid w:val="00CB6545"/>
    <w:rsid w:val="00CC04F6"/>
    <w:rsid w:val="00CC223C"/>
    <w:rsid w:val="00CC2755"/>
    <w:rsid w:val="00CC51DA"/>
    <w:rsid w:val="00CC5EBB"/>
    <w:rsid w:val="00CC6B19"/>
    <w:rsid w:val="00CC7126"/>
    <w:rsid w:val="00CC7B53"/>
    <w:rsid w:val="00CD2DB5"/>
    <w:rsid w:val="00CD39BE"/>
    <w:rsid w:val="00CD3EBE"/>
    <w:rsid w:val="00CD43B3"/>
    <w:rsid w:val="00CD4993"/>
    <w:rsid w:val="00CD6D04"/>
    <w:rsid w:val="00CD6EFB"/>
    <w:rsid w:val="00CD7BC0"/>
    <w:rsid w:val="00CE030B"/>
    <w:rsid w:val="00CE1148"/>
    <w:rsid w:val="00CE153E"/>
    <w:rsid w:val="00CE17B7"/>
    <w:rsid w:val="00CE1874"/>
    <w:rsid w:val="00CE1F33"/>
    <w:rsid w:val="00CE217C"/>
    <w:rsid w:val="00CE355C"/>
    <w:rsid w:val="00CE4137"/>
    <w:rsid w:val="00CE437F"/>
    <w:rsid w:val="00CE4484"/>
    <w:rsid w:val="00CE5788"/>
    <w:rsid w:val="00CE7998"/>
    <w:rsid w:val="00CF3C1B"/>
    <w:rsid w:val="00CF45E9"/>
    <w:rsid w:val="00CF4DD4"/>
    <w:rsid w:val="00CF563C"/>
    <w:rsid w:val="00CF7241"/>
    <w:rsid w:val="00D01AD3"/>
    <w:rsid w:val="00D0220B"/>
    <w:rsid w:val="00D03F27"/>
    <w:rsid w:val="00D057AF"/>
    <w:rsid w:val="00D05FAB"/>
    <w:rsid w:val="00D07CE3"/>
    <w:rsid w:val="00D112F1"/>
    <w:rsid w:val="00D12979"/>
    <w:rsid w:val="00D142E8"/>
    <w:rsid w:val="00D145C3"/>
    <w:rsid w:val="00D14D16"/>
    <w:rsid w:val="00D1540A"/>
    <w:rsid w:val="00D15BA1"/>
    <w:rsid w:val="00D16041"/>
    <w:rsid w:val="00D21BB0"/>
    <w:rsid w:val="00D22205"/>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351CA"/>
    <w:rsid w:val="00D411A2"/>
    <w:rsid w:val="00D4242C"/>
    <w:rsid w:val="00D42659"/>
    <w:rsid w:val="00D42A9B"/>
    <w:rsid w:val="00D44039"/>
    <w:rsid w:val="00D44690"/>
    <w:rsid w:val="00D447D2"/>
    <w:rsid w:val="00D4567F"/>
    <w:rsid w:val="00D47CF9"/>
    <w:rsid w:val="00D47E53"/>
    <w:rsid w:val="00D5239B"/>
    <w:rsid w:val="00D5312D"/>
    <w:rsid w:val="00D533EA"/>
    <w:rsid w:val="00D54098"/>
    <w:rsid w:val="00D55BA3"/>
    <w:rsid w:val="00D5673C"/>
    <w:rsid w:val="00D5706F"/>
    <w:rsid w:val="00D57D31"/>
    <w:rsid w:val="00D608AD"/>
    <w:rsid w:val="00D62874"/>
    <w:rsid w:val="00D640F7"/>
    <w:rsid w:val="00D64ACA"/>
    <w:rsid w:val="00D64F99"/>
    <w:rsid w:val="00D65E11"/>
    <w:rsid w:val="00D67456"/>
    <w:rsid w:val="00D679B8"/>
    <w:rsid w:val="00D701E0"/>
    <w:rsid w:val="00D70475"/>
    <w:rsid w:val="00D705B2"/>
    <w:rsid w:val="00D70702"/>
    <w:rsid w:val="00D7091A"/>
    <w:rsid w:val="00D72022"/>
    <w:rsid w:val="00D7394E"/>
    <w:rsid w:val="00D73B1D"/>
    <w:rsid w:val="00D740E5"/>
    <w:rsid w:val="00D7550E"/>
    <w:rsid w:val="00D75560"/>
    <w:rsid w:val="00D76B47"/>
    <w:rsid w:val="00D76CDF"/>
    <w:rsid w:val="00D80D13"/>
    <w:rsid w:val="00D81EA2"/>
    <w:rsid w:val="00D8354F"/>
    <w:rsid w:val="00D84021"/>
    <w:rsid w:val="00D848CA"/>
    <w:rsid w:val="00D84C1C"/>
    <w:rsid w:val="00D8534B"/>
    <w:rsid w:val="00D85B39"/>
    <w:rsid w:val="00D876B6"/>
    <w:rsid w:val="00D87DE2"/>
    <w:rsid w:val="00D90EE2"/>
    <w:rsid w:val="00D92178"/>
    <w:rsid w:val="00D94006"/>
    <w:rsid w:val="00D9429B"/>
    <w:rsid w:val="00D972B7"/>
    <w:rsid w:val="00DA0E37"/>
    <w:rsid w:val="00DA1C65"/>
    <w:rsid w:val="00DA276E"/>
    <w:rsid w:val="00DA40CA"/>
    <w:rsid w:val="00DA4E09"/>
    <w:rsid w:val="00DA6731"/>
    <w:rsid w:val="00DA770F"/>
    <w:rsid w:val="00DB0F35"/>
    <w:rsid w:val="00DB3628"/>
    <w:rsid w:val="00DB4BC9"/>
    <w:rsid w:val="00DB53A9"/>
    <w:rsid w:val="00DB77A0"/>
    <w:rsid w:val="00DB7B75"/>
    <w:rsid w:val="00DC138E"/>
    <w:rsid w:val="00DC2A41"/>
    <w:rsid w:val="00DC430A"/>
    <w:rsid w:val="00DC68EA"/>
    <w:rsid w:val="00DC694D"/>
    <w:rsid w:val="00DD03C6"/>
    <w:rsid w:val="00DD09F1"/>
    <w:rsid w:val="00DD0CA4"/>
    <w:rsid w:val="00DD1AE5"/>
    <w:rsid w:val="00DD20FA"/>
    <w:rsid w:val="00DD2E5D"/>
    <w:rsid w:val="00DD33CB"/>
    <w:rsid w:val="00DD544E"/>
    <w:rsid w:val="00DD5FEF"/>
    <w:rsid w:val="00DD6C82"/>
    <w:rsid w:val="00DD7F16"/>
    <w:rsid w:val="00DE0BE0"/>
    <w:rsid w:val="00DE1324"/>
    <w:rsid w:val="00DE140C"/>
    <w:rsid w:val="00DE2A4C"/>
    <w:rsid w:val="00DE32D4"/>
    <w:rsid w:val="00DE3371"/>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42B"/>
    <w:rsid w:val="00E03D6F"/>
    <w:rsid w:val="00E047AB"/>
    <w:rsid w:val="00E05670"/>
    <w:rsid w:val="00E05D76"/>
    <w:rsid w:val="00E070CD"/>
    <w:rsid w:val="00E0761C"/>
    <w:rsid w:val="00E07C8C"/>
    <w:rsid w:val="00E10646"/>
    <w:rsid w:val="00E114D9"/>
    <w:rsid w:val="00E13348"/>
    <w:rsid w:val="00E13615"/>
    <w:rsid w:val="00E13886"/>
    <w:rsid w:val="00E1480A"/>
    <w:rsid w:val="00E15DA1"/>
    <w:rsid w:val="00E16A1B"/>
    <w:rsid w:val="00E16F11"/>
    <w:rsid w:val="00E16F1D"/>
    <w:rsid w:val="00E17B97"/>
    <w:rsid w:val="00E200BD"/>
    <w:rsid w:val="00E20835"/>
    <w:rsid w:val="00E20A18"/>
    <w:rsid w:val="00E21130"/>
    <w:rsid w:val="00E23235"/>
    <w:rsid w:val="00E23A1F"/>
    <w:rsid w:val="00E2443D"/>
    <w:rsid w:val="00E248D0"/>
    <w:rsid w:val="00E25041"/>
    <w:rsid w:val="00E263E1"/>
    <w:rsid w:val="00E26D58"/>
    <w:rsid w:val="00E27762"/>
    <w:rsid w:val="00E27F0F"/>
    <w:rsid w:val="00E30116"/>
    <w:rsid w:val="00E30E64"/>
    <w:rsid w:val="00E31976"/>
    <w:rsid w:val="00E327E1"/>
    <w:rsid w:val="00E35231"/>
    <w:rsid w:val="00E35F59"/>
    <w:rsid w:val="00E36FD3"/>
    <w:rsid w:val="00E37EC5"/>
    <w:rsid w:val="00E41A62"/>
    <w:rsid w:val="00E4356A"/>
    <w:rsid w:val="00E44394"/>
    <w:rsid w:val="00E44ABC"/>
    <w:rsid w:val="00E4729C"/>
    <w:rsid w:val="00E500EB"/>
    <w:rsid w:val="00E505FB"/>
    <w:rsid w:val="00E50857"/>
    <w:rsid w:val="00E511D6"/>
    <w:rsid w:val="00E5137D"/>
    <w:rsid w:val="00E521EC"/>
    <w:rsid w:val="00E53F71"/>
    <w:rsid w:val="00E541F9"/>
    <w:rsid w:val="00E54208"/>
    <w:rsid w:val="00E54F77"/>
    <w:rsid w:val="00E60683"/>
    <w:rsid w:val="00E60A24"/>
    <w:rsid w:val="00E60ACB"/>
    <w:rsid w:val="00E60FA8"/>
    <w:rsid w:val="00E646A4"/>
    <w:rsid w:val="00E646BB"/>
    <w:rsid w:val="00E64D10"/>
    <w:rsid w:val="00E66946"/>
    <w:rsid w:val="00E6706B"/>
    <w:rsid w:val="00E678F6"/>
    <w:rsid w:val="00E67FC2"/>
    <w:rsid w:val="00E7030E"/>
    <w:rsid w:val="00E72180"/>
    <w:rsid w:val="00E73687"/>
    <w:rsid w:val="00E74C85"/>
    <w:rsid w:val="00E75490"/>
    <w:rsid w:val="00E7633D"/>
    <w:rsid w:val="00E76496"/>
    <w:rsid w:val="00E764CC"/>
    <w:rsid w:val="00E77C72"/>
    <w:rsid w:val="00E81C89"/>
    <w:rsid w:val="00E825C6"/>
    <w:rsid w:val="00E84691"/>
    <w:rsid w:val="00E84F72"/>
    <w:rsid w:val="00E850EE"/>
    <w:rsid w:val="00E85EAC"/>
    <w:rsid w:val="00E879A0"/>
    <w:rsid w:val="00E922BC"/>
    <w:rsid w:val="00E92346"/>
    <w:rsid w:val="00E92DED"/>
    <w:rsid w:val="00E9334E"/>
    <w:rsid w:val="00E93EFC"/>
    <w:rsid w:val="00E94F82"/>
    <w:rsid w:val="00E950C9"/>
    <w:rsid w:val="00E9577F"/>
    <w:rsid w:val="00E95824"/>
    <w:rsid w:val="00E96458"/>
    <w:rsid w:val="00E96693"/>
    <w:rsid w:val="00E96B6B"/>
    <w:rsid w:val="00E97353"/>
    <w:rsid w:val="00EA2943"/>
    <w:rsid w:val="00EA3340"/>
    <w:rsid w:val="00EA506C"/>
    <w:rsid w:val="00EA6455"/>
    <w:rsid w:val="00EA6803"/>
    <w:rsid w:val="00EA75C1"/>
    <w:rsid w:val="00EA76B7"/>
    <w:rsid w:val="00EA7E68"/>
    <w:rsid w:val="00EB03C7"/>
    <w:rsid w:val="00EB2B9B"/>
    <w:rsid w:val="00EB38E6"/>
    <w:rsid w:val="00EB3E70"/>
    <w:rsid w:val="00EB473C"/>
    <w:rsid w:val="00EB4B9B"/>
    <w:rsid w:val="00EB4E6E"/>
    <w:rsid w:val="00EB4FC3"/>
    <w:rsid w:val="00EB75B9"/>
    <w:rsid w:val="00EB7EDC"/>
    <w:rsid w:val="00EC02BF"/>
    <w:rsid w:val="00EC167B"/>
    <w:rsid w:val="00EC2005"/>
    <w:rsid w:val="00EC2030"/>
    <w:rsid w:val="00EC2041"/>
    <w:rsid w:val="00EC286D"/>
    <w:rsid w:val="00EC320F"/>
    <w:rsid w:val="00EC3CA8"/>
    <w:rsid w:val="00EC4826"/>
    <w:rsid w:val="00EC4F48"/>
    <w:rsid w:val="00EC5260"/>
    <w:rsid w:val="00EC5791"/>
    <w:rsid w:val="00EC5FD9"/>
    <w:rsid w:val="00ED0A8D"/>
    <w:rsid w:val="00ED121F"/>
    <w:rsid w:val="00ED1FA9"/>
    <w:rsid w:val="00ED23F7"/>
    <w:rsid w:val="00ED2934"/>
    <w:rsid w:val="00ED3715"/>
    <w:rsid w:val="00ED668C"/>
    <w:rsid w:val="00ED6913"/>
    <w:rsid w:val="00EE0C2B"/>
    <w:rsid w:val="00EE0C5F"/>
    <w:rsid w:val="00EE12CE"/>
    <w:rsid w:val="00EE3947"/>
    <w:rsid w:val="00EE4D62"/>
    <w:rsid w:val="00EF0D0C"/>
    <w:rsid w:val="00EF14C3"/>
    <w:rsid w:val="00EF36E2"/>
    <w:rsid w:val="00EF36E3"/>
    <w:rsid w:val="00EF62F5"/>
    <w:rsid w:val="00EF702B"/>
    <w:rsid w:val="00EF712C"/>
    <w:rsid w:val="00F00AB2"/>
    <w:rsid w:val="00F01237"/>
    <w:rsid w:val="00F0164D"/>
    <w:rsid w:val="00F025DE"/>
    <w:rsid w:val="00F02650"/>
    <w:rsid w:val="00F026C0"/>
    <w:rsid w:val="00F02813"/>
    <w:rsid w:val="00F03196"/>
    <w:rsid w:val="00F034CA"/>
    <w:rsid w:val="00F03C66"/>
    <w:rsid w:val="00F04605"/>
    <w:rsid w:val="00F04E90"/>
    <w:rsid w:val="00F0645F"/>
    <w:rsid w:val="00F0719F"/>
    <w:rsid w:val="00F0758D"/>
    <w:rsid w:val="00F10242"/>
    <w:rsid w:val="00F108AC"/>
    <w:rsid w:val="00F10BBB"/>
    <w:rsid w:val="00F10BFF"/>
    <w:rsid w:val="00F11EDC"/>
    <w:rsid w:val="00F12F42"/>
    <w:rsid w:val="00F13DE4"/>
    <w:rsid w:val="00F16550"/>
    <w:rsid w:val="00F17A33"/>
    <w:rsid w:val="00F20D96"/>
    <w:rsid w:val="00F21A8A"/>
    <w:rsid w:val="00F251DE"/>
    <w:rsid w:val="00F27755"/>
    <w:rsid w:val="00F27A88"/>
    <w:rsid w:val="00F31028"/>
    <w:rsid w:val="00F31F0C"/>
    <w:rsid w:val="00F327C3"/>
    <w:rsid w:val="00F3338E"/>
    <w:rsid w:val="00F3340B"/>
    <w:rsid w:val="00F34DC0"/>
    <w:rsid w:val="00F37548"/>
    <w:rsid w:val="00F3779A"/>
    <w:rsid w:val="00F421E6"/>
    <w:rsid w:val="00F4241C"/>
    <w:rsid w:val="00F429E6"/>
    <w:rsid w:val="00F438BF"/>
    <w:rsid w:val="00F5028B"/>
    <w:rsid w:val="00F50673"/>
    <w:rsid w:val="00F51C55"/>
    <w:rsid w:val="00F5204C"/>
    <w:rsid w:val="00F526AF"/>
    <w:rsid w:val="00F52A7B"/>
    <w:rsid w:val="00F52DB4"/>
    <w:rsid w:val="00F618C6"/>
    <w:rsid w:val="00F62819"/>
    <w:rsid w:val="00F64C08"/>
    <w:rsid w:val="00F670D2"/>
    <w:rsid w:val="00F713C4"/>
    <w:rsid w:val="00F719F6"/>
    <w:rsid w:val="00F72159"/>
    <w:rsid w:val="00F74173"/>
    <w:rsid w:val="00F758A0"/>
    <w:rsid w:val="00F75A06"/>
    <w:rsid w:val="00F76A72"/>
    <w:rsid w:val="00F77EED"/>
    <w:rsid w:val="00F8023E"/>
    <w:rsid w:val="00F80931"/>
    <w:rsid w:val="00F80F36"/>
    <w:rsid w:val="00F8291D"/>
    <w:rsid w:val="00F847B7"/>
    <w:rsid w:val="00F852C2"/>
    <w:rsid w:val="00F855B3"/>
    <w:rsid w:val="00F872AD"/>
    <w:rsid w:val="00F87807"/>
    <w:rsid w:val="00F900AE"/>
    <w:rsid w:val="00F90164"/>
    <w:rsid w:val="00F90496"/>
    <w:rsid w:val="00F91764"/>
    <w:rsid w:val="00F9251B"/>
    <w:rsid w:val="00F92825"/>
    <w:rsid w:val="00F93A1B"/>
    <w:rsid w:val="00F95D8C"/>
    <w:rsid w:val="00F9628D"/>
    <w:rsid w:val="00F96514"/>
    <w:rsid w:val="00F96C32"/>
    <w:rsid w:val="00FA1A5C"/>
    <w:rsid w:val="00FA22B2"/>
    <w:rsid w:val="00FA24FE"/>
    <w:rsid w:val="00FA2E62"/>
    <w:rsid w:val="00FA506B"/>
    <w:rsid w:val="00FA6A25"/>
    <w:rsid w:val="00FA7797"/>
    <w:rsid w:val="00FB3B57"/>
    <w:rsid w:val="00FB44FE"/>
    <w:rsid w:val="00FB4E97"/>
    <w:rsid w:val="00FB587D"/>
    <w:rsid w:val="00FB75A8"/>
    <w:rsid w:val="00FC30AF"/>
    <w:rsid w:val="00FC3D4A"/>
    <w:rsid w:val="00FC7143"/>
    <w:rsid w:val="00FC72C1"/>
    <w:rsid w:val="00FC7A63"/>
    <w:rsid w:val="00FC7C8F"/>
    <w:rsid w:val="00FD32E8"/>
    <w:rsid w:val="00FD5088"/>
    <w:rsid w:val="00FD5ED9"/>
    <w:rsid w:val="00FD6069"/>
    <w:rsid w:val="00FD6AE8"/>
    <w:rsid w:val="00FD6F50"/>
    <w:rsid w:val="00FD7D62"/>
    <w:rsid w:val="00FE0FB0"/>
    <w:rsid w:val="00FE13BD"/>
    <w:rsid w:val="00FE3F6A"/>
    <w:rsid w:val="00FE591C"/>
    <w:rsid w:val="00FF3527"/>
    <w:rsid w:val="00FF39DE"/>
    <w:rsid w:val="00FF4731"/>
    <w:rsid w:val="00FF5996"/>
    <w:rsid w:val="00FF68B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FF1182-8AFD-4E14-9552-3EA8C0FB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 w:type="character" w:styleId="PlaceholderText">
    <w:name w:val="Placeholder Text"/>
    <w:basedOn w:val="DefaultParagraphFont"/>
    <w:uiPriority w:val="99"/>
    <w:semiHidden/>
    <w:rsid w:val="00CA5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521">
      <w:bodyDiv w:val="1"/>
      <w:marLeft w:val="0"/>
      <w:marRight w:val="0"/>
      <w:marTop w:val="0"/>
      <w:marBottom w:val="0"/>
      <w:divBdr>
        <w:top w:val="none" w:sz="0" w:space="0" w:color="auto"/>
        <w:left w:val="none" w:sz="0" w:space="0" w:color="auto"/>
        <w:bottom w:val="none" w:sz="0" w:space="0" w:color="auto"/>
        <w:right w:val="none" w:sz="0" w:space="0" w:color="auto"/>
      </w:divBdr>
    </w:div>
    <w:div w:id="476455100">
      <w:bodyDiv w:val="1"/>
      <w:marLeft w:val="0"/>
      <w:marRight w:val="0"/>
      <w:marTop w:val="0"/>
      <w:marBottom w:val="0"/>
      <w:divBdr>
        <w:top w:val="none" w:sz="0" w:space="0" w:color="auto"/>
        <w:left w:val="none" w:sz="0" w:space="0" w:color="auto"/>
        <w:bottom w:val="none" w:sz="0" w:space="0" w:color="auto"/>
        <w:right w:val="none" w:sz="0" w:space="0" w:color="auto"/>
      </w:divBdr>
    </w:div>
    <w:div w:id="496189487">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7447">
      <w:bodyDiv w:val="1"/>
      <w:marLeft w:val="0"/>
      <w:marRight w:val="0"/>
      <w:marTop w:val="0"/>
      <w:marBottom w:val="0"/>
      <w:divBdr>
        <w:top w:val="none" w:sz="0" w:space="0" w:color="auto"/>
        <w:left w:val="none" w:sz="0" w:space="0" w:color="auto"/>
        <w:bottom w:val="none" w:sz="0" w:space="0" w:color="auto"/>
        <w:right w:val="none" w:sz="0" w:space="0" w:color="auto"/>
      </w:divBdr>
    </w:div>
    <w:div w:id="1302224584">
      <w:bodyDiv w:val="1"/>
      <w:marLeft w:val="0"/>
      <w:marRight w:val="0"/>
      <w:marTop w:val="0"/>
      <w:marBottom w:val="0"/>
      <w:divBdr>
        <w:top w:val="none" w:sz="0" w:space="0" w:color="auto"/>
        <w:left w:val="none" w:sz="0" w:space="0" w:color="auto"/>
        <w:bottom w:val="none" w:sz="0" w:space="0" w:color="auto"/>
        <w:right w:val="none" w:sz="0" w:space="0" w:color="auto"/>
      </w:divBdr>
    </w:div>
    <w:div w:id="1316375002">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63268282">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77878368">
      <w:bodyDiv w:val="1"/>
      <w:marLeft w:val="0"/>
      <w:marRight w:val="0"/>
      <w:marTop w:val="0"/>
      <w:marBottom w:val="0"/>
      <w:divBdr>
        <w:top w:val="none" w:sz="0" w:space="0" w:color="auto"/>
        <w:left w:val="none" w:sz="0" w:space="0" w:color="auto"/>
        <w:bottom w:val="none" w:sz="0" w:space="0" w:color="auto"/>
        <w:right w:val="none" w:sz="0" w:space="0" w:color="auto"/>
      </w:divBdr>
    </w:div>
    <w:div w:id="2060738788">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ŠKRIPAC, Slobodan</Reference>
    <Case_x0020_Year xmlns="63130c8a-8d1f-4e28-8ee3-43603ca9ef3b">2009</Case_x0020_Year>
    <Case_x0020_Status xmlns="16f2acb5-7363-4076-9084-069fc3bb4325">CASE CLOSED</Case_x0020_Status>
    <Date_x0020_of_x0020_Adoption xmlns="16f2acb5-7363-4076-9084-069fc3bb4325">2015-09-09T22:00:00+00:00</Date_x0020_of_x0020_Adoption>
    <Case_x0020_Number xmlns="16f2acb5-7363-4076-9084-069fc3bb4325">266/09</Case_x0020_Number>
    <Type_x0020_of_x0020_Document xmlns="16f2acb5-7363-4076-9084-069fc3bb4325">Opinion</Type_x0020_of_x0020_Document>
    <_dlc_DocId xmlns="b9fab99d-1571-47f6-8995-3a195ef041f8">M5JDUUKXSQ5W-25-1126</_dlc_DocId>
    <_dlc_DocIdUrl xmlns="b9fab99d-1571-47f6-8995-3a195ef041f8">
      <Url>http://www.unmikonline.org/hrap/Eng/_layouts/DocIdRedir.aspx?ID=M5JDUUKXSQ5W-25-1126</Url>
      <Description>M5JDUUKXSQ5W-25-1126</Description>
    </_dlc_DocIdUrl>
  </documentManagement>
</p:properties>
</file>

<file path=customXml/itemProps1.xml><?xml version="1.0" encoding="utf-8"?>
<ds:datastoreItem xmlns:ds="http://schemas.openxmlformats.org/officeDocument/2006/customXml" ds:itemID="{F45F4B01-66BC-45D9-97D0-E324D8171094}"/>
</file>

<file path=customXml/itemProps2.xml><?xml version="1.0" encoding="utf-8"?>
<ds:datastoreItem xmlns:ds="http://schemas.openxmlformats.org/officeDocument/2006/customXml" ds:itemID="{266D9E98-E033-49F5-9971-6937C20072A5}"/>
</file>

<file path=customXml/itemProps3.xml><?xml version="1.0" encoding="utf-8"?>
<ds:datastoreItem xmlns:ds="http://schemas.openxmlformats.org/officeDocument/2006/customXml" ds:itemID="{6CB889EA-A34B-452D-8B7E-AE2B6F1D44CD}"/>
</file>

<file path=customXml/itemProps4.xml><?xml version="1.0" encoding="utf-8"?>
<ds:datastoreItem xmlns:ds="http://schemas.openxmlformats.org/officeDocument/2006/customXml" ds:itemID="{DE4E5230-F91E-4783-A687-1739E7580A0F}"/>
</file>

<file path=customXml/itemProps5.xml><?xml version="1.0" encoding="utf-8"?>
<ds:datastoreItem xmlns:ds="http://schemas.openxmlformats.org/officeDocument/2006/customXml" ds:itemID="{39316AE9-573D-44DD-AF2E-5225402499DC}"/>
</file>

<file path=docProps/app.xml><?xml version="1.0" encoding="utf-8"?>
<Properties xmlns="http://schemas.openxmlformats.org/officeDocument/2006/extended-properties" xmlns:vt="http://schemas.openxmlformats.org/officeDocument/2006/docPropsVTypes">
  <Template>Normal</Template>
  <TotalTime>29</TotalTime>
  <Pages>35</Pages>
  <Words>16117</Words>
  <Characters>91869</Characters>
  <Application>Microsoft Office Word</Application>
  <DocSecurity>0</DocSecurity>
  <Lines>765</Lines>
  <Paragraphs>215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107771</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2015-09-16T11:46:00Z</cp:lastPrinted>
  <dcterms:created xsi:type="dcterms:W3CDTF">2015-12-01T14:33:00Z</dcterms:created>
  <dcterms:modified xsi:type="dcterms:W3CDTF">2015-12-01T14:33:00Z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2c02a9b5-6dbe-4069-95c5-63296f438569</vt:lpwstr>
  </property>
</Properties>
</file>